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FFB99">
      <w:pPr>
        <w:spacing w:line="578"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海南师范大学附属中学</w:t>
      </w:r>
    </w:p>
    <w:p w14:paraId="6C2B2D3A">
      <w:pPr>
        <w:spacing w:line="578" w:lineRule="exact"/>
        <w:jc w:val="center"/>
        <w:rPr>
          <w:rFonts w:hint="eastAsia" w:ascii="黑体" w:hAnsi="ˎ̥" w:eastAsia="黑体"/>
          <w:b/>
          <w:sz w:val="32"/>
          <w:szCs w:val="32"/>
        </w:rPr>
      </w:pPr>
      <w:r>
        <w:rPr>
          <w:rFonts w:hint="eastAsia" w:asciiTheme="majorEastAsia" w:hAnsiTheme="majorEastAsia" w:eastAsiaTheme="majorEastAsia" w:cstheme="majorEastAsia"/>
          <w:b/>
          <w:bCs/>
          <w:sz w:val="44"/>
          <w:szCs w:val="44"/>
          <w:lang w:val="en-US" w:eastAsia="zh-CN"/>
        </w:rPr>
        <w:t xml:space="preserve"> </w:t>
      </w:r>
      <w:r>
        <w:rPr>
          <w:rFonts w:hint="default" w:asciiTheme="majorEastAsia" w:hAnsiTheme="majorEastAsia" w:eastAsiaTheme="majorEastAsia" w:cstheme="majorEastAsia"/>
          <w:b/>
          <w:bCs/>
          <w:sz w:val="44"/>
          <w:szCs w:val="44"/>
          <w:lang w:val="en-US"/>
        </w:rPr>
        <w:t>2025</w:t>
      </w:r>
      <w:r>
        <w:rPr>
          <w:rFonts w:hint="eastAsia" w:asciiTheme="majorEastAsia" w:hAnsiTheme="majorEastAsia" w:eastAsiaTheme="majorEastAsia" w:cstheme="majorEastAsia"/>
          <w:b/>
          <w:bCs/>
          <w:sz w:val="44"/>
          <w:szCs w:val="44"/>
        </w:rPr>
        <w:t>年度部门决算公开报告</w:t>
      </w:r>
    </w:p>
    <w:p w14:paraId="6A8F1018">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14:paraId="6A2F743B">
      <w:pPr>
        <w:pStyle w:val="17"/>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14:paraId="29CBFE79">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09089809">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3B013F23">
      <w:pPr>
        <w:pStyle w:val="17"/>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rPr>
        <w:t>2</w:t>
      </w:r>
    </w:p>
    <w:p w14:paraId="6E57563D">
      <w:pPr>
        <w:pStyle w:val="17"/>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2025</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rPr>
        <w:t>3</w:t>
      </w:r>
    </w:p>
    <w:p w14:paraId="65C40179">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3</w:t>
      </w:r>
    </w:p>
    <w:p w14:paraId="4BD7D57F">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14:paraId="0C54764D">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14:paraId="51FC70A3">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14:paraId="7A0C8420">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5</w:t>
      </w:r>
    </w:p>
    <w:p w14:paraId="0F3513AE">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rPr>
        <w:t>6</w:t>
      </w:r>
    </w:p>
    <w:p w14:paraId="14C271AC">
      <w:pPr>
        <w:pStyle w:val="18"/>
        <w:numPr>
          <w:ilvl w:val="0"/>
          <w:numId w:val="0"/>
        </w:numPr>
        <w:tabs>
          <w:tab w:val="right" w:leader="dot" w:pos="8306"/>
        </w:tabs>
        <w:spacing w:line="578" w:lineRule="exact"/>
        <w:rPr>
          <w:rFonts w:hint="eastAsia" w:ascii="仿宋" w:hAnsi="仿宋" w:eastAsia="仿宋" w:cs="仿宋"/>
          <w:sz w:val="32"/>
          <w:szCs w:val="32"/>
        </w:rPr>
      </w:pPr>
      <w:r>
        <w:rPr>
          <w:rFonts w:hint="eastAsia" w:ascii="仿宋" w:hAnsi="仿宋" w:eastAsia="仿宋" w:cs="仿宋"/>
          <w:bCs/>
          <w:sz w:val="32"/>
          <w:szCs w:val="32"/>
          <w:lang w:val="en-US" w:eastAsia="zh-CN"/>
        </w:rPr>
        <w:t>七、</w:t>
      </w: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7</w:t>
      </w:r>
    </w:p>
    <w:p w14:paraId="341B0484">
      <w:pPr>
        <w:pStyle w:val="18"/>
        <w:numPr>
          <w:ilvl w:val="0"/>
          <w:numId w:val="0"/>
        </w:numPr>
        <w:tabs>
          <w:tab w:val="right" w:leader="dot" w:pos="8306"/>
        </w:tabs>
        <w:spacing w:line="578" w:lineRule="exact"/>
        <w:rPr>
          <w:rFonts w:hint="eastAsia" w:ascii="仿宋" w:hAnsi="仿宋" w:eastAsia="仿宋" w:cs="仿宋"/>
          <w:sz w:val="32"/>
          <w:szCs w:val="32"/>
        </w:rPr>
      </w:pPr>
      <w:r>
        <w:rPr>
          <w:rFonts w:hint="eastAsia" w:ascii="仿宋" w:hAnsi="仿宋" w:eastAsia="仿宋" w:cs="仿宋"/>
          <w:bCs/>
          <w:sz w:val="32"/>
          <w:szCs w:val="32"/>
          <w:lang w:val="en-US" w:eastAsia="zh-CN"/>
        </w:rPr>
        <w:t>八、</w:t>
      </w: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8</w:t>
      </w:r>
    </w:p>
    <w:p w14:paraId="4A5010BD">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9</w:t>
      </w:r>
    </w:p>
    <w:p w14:paraId="23F091F4">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11</w:t>
      </w:r>
    </w:p>
    <w:p w14:paraId="11226842">
      <w:pPr>
        <w:pStyle w:val="18"/>
        <w:numPr>
          <w:ilvl w:val="0"/>
          <w:numId w:val="0"/>
        </w:numPr>
        <w:tabs>
          <w:tab w:val="right" w:leader="dot" w:pos="8306"/>
        </w:tabs>
        <w:spacing w:line="578" w:lineRule="exact"/>
        <w:rPr>
          <w:rFonts w:hint="eastAsia" w:ascii="仿宋" w:hAnsi="仿宋" w:eastAsia="仿宋" w:cs="仿宋"/>
          <w:sz w:val="32"/>
          <w:szCs w:val="32"/>
        </w:rPr>
      </w:pPr>
      <w:r>
        <w:rPr>
          <w:rFonts w:hint="eastAsia" w:ascii="仿宋" w:hAnsi="仿宋" w:eastAsia="仿宋" w:cs="仿宋"/>
          <w:bCs/>
          <w:sz w:val="32"/>
          <w:szCs w:val="32"/>
          <w:lang w:val="en-US" w:eastAsia="zh-CN"/>
        </w:rPr>
        <w:t>十一、</w:t>
      </w:r>
      <w:r>
        <w:rPr>
          <w:rFonts w:hint="eastAsia" w:ascii="仿宋" w:hAnsi="仿宋" w:eastAsia="仿宋" w:cs="仿宋"/>
          <w:bCs/>
          <w:sz w:val="32"/>
          <w:szCs w:val="32"/>
        </w:rPr>
        <w:t>落实习惯过紧日子要求、保障重点支出情况说明</w:t>
      </w:r>
      <w:r>
        <w:rPr>
          <w:rFonts w:hint="eastAsia" w:ascii="仿宋" w:hAnsi="仿宋" w:eastAsia="仿宋" w:cs="仿宋"/>
          <w:sz w:val="32"/>
          <w:szCs w:val="32"/>
        </w:rPr>
        <w:tab/>
      </w:r>
      <w:r>
        <w:rPr>
          <w:rFonts w:hint="eastAsia" w:ascii="仿宋" w:hAnsi="仿宋" w:eastAsia="仿宋" w:cs="仿宋"/>
          <w:sz w:val="32"/>
          <w:szCs w:val="32"/>
        </w:rPr>
        <w:t>13</w:t>
      </w:r>
    </w:p>
    <w:p w14:paraId="4705ABB2">
      <w:pPr>
        <w:pStyle w:val="18"/>
        <w:tabs>
          <w:tab w:val="right" w:leader="dot" w:pos="8306"/>
        </w:tabs>
        <w:spacing w:line="578" w:lineRule="exact"/>
        <w:ind w:leftChars="0"/>
        <w:rPr>
          <w:rFonts w:hint="default" w:ascii="仿宋" w:hAnsi="仿宋" w:eastAsia="仿宋" w:cs="仿宋"/>
          <w:sz w:val="32"/>
          <w:szCs w:val="32"/>
          <w:lang w:val="en-US"/>
        </w:rPr>
      </w:pPr>
      <w:r>
        <w:rPr>
          <w:rFonts w:hint="eastAsia" w:ascii="仿宋" w:hAnsi="仿宋" w:eastAsia="仿宋" w:cs="仿宋"/>
          <w:bCs/>
          <w:sz w:val="32"/>
          <w:szCs w:val="32"/>
        </w:rPr>
        <w:t>十</w:t>
      </w:r>
      <w:r>
        <w:rPr>
          <w:rFonts w:hint="eastAsia" w:ascii="仿宋" w:hAnsi="仿宋" w:eastAsia="仿宋" w:cs="仿宋"/>
          <w:bCs/>
          <w:sz w:val="32"/>
          <w:szCs w:val="32"/>
          <w:lang w:val="en-US" w:eastAsia="zh-CN"/>
        </w:rPr>
        <w:t>二</w:t>
      </w:r>
      <w:r>
        <w:rPr>
          <w:rFonts w:hint="eastAsia" w:ascii="仿宋" w:hAnsi="仿宋" w:eastAsia="仿宋" w:cs="仿宋"/>
          <w:bCs/>
          <w:sz w:val="32"/>
          <w:szCs w:val="32"/>
        </w:rPr>
        <w:t>、其他重要事项情况说明</w:t>
      </w:r>
      <w:r>
        <w:rPr>
          <w:rFonts w:hint="eastAsia" w:ascii="仿宋" w:hAnsi="仿宋" w:eastAsia="仿宋" w:cs="仿宋"/>
          <w:sz w:val="32"/>
          <w:szCs w:val="32"/>
        </w:rPr>
        <w:tab/>
      </w:r>
      <w:r>
        <w:rPr>
          <w:rFonts w:hint="eastAsia" w:ascii="仿宋" w:hAnsi="仿宋" w:eastAsia="仿宋" w:cs="仿宋"/>
          <w:sz w:val="32"/>
          <w:szCs w:val="32"/>
        </w:rPr>
        <w:t>1</w:t>
      </w:r>
      <w:r>
        <w:rPr>
          <w:rFonts w:hint="default" w:ascii="仿宋" w:hAnsi="仿宋" w:eastAsia="仿宋" w:cs="仿宋"/>
          <w:sz w:val="32"/>
          <w:szCs w:val="32"/>
          <w:lang w:val="en-US"/>
        </w:rPr>
        <w:t>4</w:t>
      </w:r>
    </w:p>
    <w:p w14:paraId="1704E608">
      <w:pPr>
        <w:pStyle w:val="17"/>
        <w:tabs>
          <w:tab w:val="right" w:leader="dot" w:pos="8306"/>
        </w:tabs>
        <w:spacing w:line="578" w:lineRule="exact"/>
        <w:rPr>
          <w:rFonts w:hint="eastAsia" w:ascii="黑体" w:hAnsi="ˎ̥"/>
          <w:b/>
          <w:sz w:val="32"/>
          <w:szCs w:val="32"/>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bookmarkStart w:id="1" w:name="_Toc15425_WPSOffice_Level1Page"/>
      <w:r>
        <w:rPr>
          <w:sz w:val="32"/>
          <w:szCs w:val="32"/>
        </w:rPr>
        <w:t>1</w:t>
      </w:r>
      <w:bookmarkEnd w:id="1"/>
      <w:r>
        <w:rPr>
          <w:sz w:val="32"/>
          <w:szCs w:val="32"/>
        </w:rPr>
        <w:fldChar w:fldCharType="end"/>
      </w:r>
      <w:bookmarkEnd w:id="0"/>
      <w:r>
        <w:rPr>
          <w:rFonts w:hint="eastAsia"/>
          <w:sz w:val="32"/>
          <w:szCs w:val="32"/>
        </w:rPr>
        <w:t>5</w:t>
      </w:r>
    </w:p>
    <w:p w14:paraId="4EC8D6DA">
      <w:pPr>
        <w:spacing w:line="578" w:lineRule="exact"/>
        <w:jc w:val="both"/>
        <w:rPr>
          <w:rFonts w:hint="eastAsia" w:ascii="黑体" w:hAnsi="ˎ̥" w:eastAsia="黑体"/>
          <w:sz w:val="32"/>
          <w:szCs w:val="32"/>
        </w:rPr>
      </w:pPr>
      <w:bookmarkStart w:id="2" w:name="_Toc10720_WPSOffice_Level1"/>
      <w:bookmarkStart w:id="3" w:name="_Toc10049_WPSOffice_Level1"/>
      <w:bookmarkStart w:id="4" w:name="_Toc23465_WPSOffice_Level1"/>
      <w:bookmarkStart w:id="5" w:name="_Toc1704_WPSOffice_Level1"/>
      <w:bookmarkStart w:id="6" w:name="_Toc22941_WPSOffice_Level1"/>
      <w:bookmarkStart w:id="7" w:name="_Toc32433_WPSOffice_Level1"/>
      <w:bookmarkStart w:id="8" w:name="_Toc32622_WPSOffice_Level2"/>
      <w:bookmarkStart w:id="9" w:name="_Toc26580_WPSOffice_Level2"/>
      <w:bookmarkStart w:id="10" w:name="_Toc20274_WPSOffice_Level2"/>
      <w:bookmarkStart w:id="11" w:name="_Toc14159_WPSOffice_Level2"/>
      <w:bookmarkStart w:id="12" w:name="_Toc20205_WPSOffice_Level2"/>
      <w:bookmarkStart w:id="13" w:name="_Toc24238_WPSOffice_Level2"/>
    </w:p>
    <w:p w14:paraId="09719A80">
      <w:pPr>
        <w:spacing w:line="578" w:lineRule="exact"/>
        <w:jc w:val="center"/>
        <w:rPr>
          <w:rFonts w:hint="eastAsia" w:ascii="黑体" w:hAnsi="ˎ̥" w:eastAsia="黑体"/>
          <w:sz w:val="32"/>
          <w:szCs w:val="32"/>
        </w:rPr>
      </w:pPr>
    </w:p>
    <w:p w14:paraId="13495E08">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2"/>
      <w:bookmarkEnd w:id="3"/>
      <w:bookmarkEnd w:id="4"/>
      <w:bookmarkEnd w:id="5"/>
      <w:bookmarkEnd w:id="6"/>
      <w:bookmarkEnd w:id="7"/>
      <w:r>
        <w:rPr>
          <w:rFonts w:hint="eastAsia" w:ascii="黑体" w:hAnsi="ˎ̥" w:eastAsia="黑体"/>
          <w:sz w:val="32"/>
          <w:szCs w:val="32"/>
        </w:rPr>
        <w:t>基本情况</w:t>
      </w:r>
    </w:p>
    <w:p w14:paraId="3AFADF71">
      <w:pPr>
        <w:keepNext w:val="0"/>
        <w:keepLines w:val="0"/>
        <w:pageBreakBefore w:val="0"/>
        <w:widowControl/>
        <w:numPr>
          <w:ilvl w:val="0"/>
          <w:numId w:val="0"/>
        </w:numPr>
        <w:kinsoku/>
        <w:wordWrap/>
        <w:overflowPunct/>
        <w:topLinePunct w:val="0"/>
        <w:autoSpaceDE/>
        <w:bidi w:val="0"/>
        <w:adjustRightInd/>
        <w:snapToGrid/>
        <w:spacing w:before="100" w:beforeAutospacing="1" w:after="100" w:afterAutospacing="1"/>
        <w:ind w:leftChars="200" w:firstLine="320" w:firstLineChars="100"/>
        <w:rPr>
          <w:rFonts w:hint="eastAsia" w:ascii="黑体" w:eastAsia="黑体"/>
          <w:sz w:val="32"/>
          <w:szCs w:val="32"/>
        </w:rPr>
      </w:pPr>
      <w:r>
        <w:rPr>
          <w:rFonts w:hint="eastAsia" w:ascii="黑体" w:hAnsi="黑体" w:eastAsia="黑体"/>
          <w:sz w:val="32"/>
          <w:szCs w:val="32"/>
          <w:lang w:val="en-US" w:eastAsia="zh-CN"/>
        </w:rPr>
        <w:t>一、部门</w:t>
      </w:r>
      <w:r>
        <w:rPr>
          <w:rFonts w:hint="eastAsia" w:ascii="黑体" w:hAnsi="黑体" w:eastAsia="黑体"/>
          <w:sz w:val="32"/>
          <w:szCs w:val="32"/>
        </w:rPr>
        <w:t>职责</w:t>
      </w:r>
    </w:p>
    <w:p w14:paraId="21E82E72">
      <w:pPr>
        <w:keepNext w:val="0"/>
        <w:keepLines w:val="0"/>
        <w:pageBreakBefore w:val="0"/>
        <w:widowControl/>
        <w:kinsoku/>
        <w:wordWrap/>
        <w:overflowPunct/>
        <w:topLinePunct w:val="0"/>
        <w:autoSpaceDE/>
        <w:bidi w:val="0"/>
        <w:adjustRightInd/>
        <w:snapToGrid/>
        <w:ind w:left="320" w:firstLine="640" w:firstLineChars="200"/>
        <w:rPr>
          <w:rFonts w:hint="eastAsia" w:ascii="黑体" w:eastAsia="黑体"/>
          <w:sz w:val="32"/>
          <w:szCs w:val="32"/>
        </w:rPr>
      </w:pPr>
      <w:r>
        <w:rPr>
          <w:rFonts w:hint="eastAsia" w:ascii="仿宋_GB2312" w:eastAsia="仿宋_GB2312"/>
          <w:sz w:val="32"/>
          <w:szCs w:val="32"/>
        </w:rPr>
        <w:t>我校为全日制完全中学公立省一级甲等学校，全额事业单位。学校的主要职责是：承担义务教育初中阶段的教育教学和普通高中教育教学，全面贯彻国家教育方针，培养学生的创新精神与实践能力，使之成为社会主义事业的建设者和接班人。</w:t>
      </w:r>
    </w:p>
    <w:p w14:paraId="69C6113D">
      <w:pPr>
        <w:keepNext w:val="0"/>
        <w:keepLines w:val="0"/>
        <w:pageBreakBefore w:val="0"/>
        <w:widowControl/>
        <w:kinsoku/>
        <w:wordWrap/>
        <w:overflowPunct/>
        <w:topLinePunct w:val="0"/>
        <w:autoSpaceDE/>
        <w:bidi w:val="0"/>
        <w:adjustRightInd/>
        <w:snapToGrid/>
        <w:spacing w:after="100" w:afterAutospacing="1"/>
        <w:ind w:firstLine="640" w:firstLineChars="200"/>
        <w:rPr>
          <w:rFonts w:ascii="黑体" w:eastAsia="黑体" w:cs="黑体"/>
          <w:sz w:val="32"/>
          <w:szCs w:val="32"/>
          <w:shd w:val="clear" w:color="auto" w:fill="FFFFFF"/>
        </w:rPr>
      </w:pPr>
      <w:r>
        <w:rPr>
          <w:rFonts w:ascii="黑体" w:eastAsia="黑体" w:cs="黑体"/>
          <w:sz w:val="32"/>
          <w:szCs w:val="32"/>
          <w:shd w:val="clear" w:color="auto" w:fill="FFFFFF"/>
        </w:rPr>
        <w:t>二、机构设置</w:t>
      </w:r>
    </w:p>
    <w:p w14:paraId="328C3BA2">
      <w:pPr>
        <w:keepNext w:val="0"/>
        <w:keepLines w:val="0"/>
        <w:pageBreakBefore w:val="0"/>
        <w:widowControl/>
        <w:kinsoku/>
        <w:wordWrap/>
        <w:overflowPunct/>
        <w:topLinePunct w:val="0"/>
        <w:autoSpaceDE/>
        <w:bidi w:val="0"/>
        <w:adjustRightInd/>
        <w:snapToGrid/>
        <w:spacing w:before="100" w:beforeAutospacing="1" w:after="100" w:afterAutospacing="1"/>
        <w:ind w:firstLine="640" w:firstLineChars="200"/>
        <w:rPr>
          <w:rFonts w:hint="eastAsia"/>
          <w:sz w:val="32"/>
          <w:szCs w:val="32"/>
        </w:rPr>
      </w:pPr>
      <w:r>
        <w:rPr>
          <w:rFonts w:hint="eastAsia"/>
          <w:sz w:val="32"/>
          <w:szCs w:val="32"/>
        </w:rPr>
        <w:t>海南师范大学附属中学202</w:t>
      </w:r>
      <w:r>
        <w:rPr>
          <w:rFonts w:hint="eastAsia"/>
          <w:sz w:val="32"/>
          <w:szCs w:val="32"/>
          <w:lang w:val="en-US" w:eastAsia="zh-CN"/>
        </w:rPr>
        <w:t>5</w:t>
      </w:r>
      <w:r>
        <w:rPr>
          <w:rFonts w:hint="eastAsia"/>
          <w:sz w:val="32"/>
          <w:szCs w:val="32"/>
        </w:rPr>
        <w:t>年度部门决算编制范围的内设机构：</w:t>
      </w:r>
    </w:p>
    <w:p w14:paraId="31324D8F">
      <w:pPr>
        <w:keepNext w:val="0"/>
        <w:keepLines w:val="0"/>
        <w:pageBreakBefore w:val="0"/>
        <w:widowControl/>
        <w:kinsoku/>
        <w:wordWrap/>
        <w:overflowPunct/>
        <w:topLinePunct w:val="0"/>
        <w:autoSpaceDE/>
        <w:bidi w:val="0"/>
        <w:adjustRightInd/>
        <w:snapToGrid/>
        <w:ind w:left="1440" w:firstLine="560" w:firstLineChars="200"/>
        <w:rPr>
          <w:rFonts w:hint="eastAsia"/>
          <w:sz w:val="28"/>
          <w:szCs w:val="28"/>
        </w:rPr>
      </w:pPr>
      <w:r>
        <w:rPr>
          <w:rFonts w:hint="eastAsia"/>
          <w:sz w:val="28"/>
          <w:szCs w:val="28"/>
        </w:rPr>
        <w:t>1、党政办</w:t>
      </w:r>
    </w:p>
    <w:p w14:paraId="420FAB17">
      <w:pPr>
        <w:keepNext w:val="0"/>
        <w:keepLines w:val="0"/>
        <w:pageBreakBefore w:val="0"/>
        <w:widowControl/>
        <w:numPr>
          <w:ilvl w:val="0"/>
          <w:numId w:val="0"/>
        </w:numPr>
        <w:kinsoku/>
        <w:wordWrap/>
        <w:overflowPunct/>
        <w:topLinePunct w:val="0"/>
        <w:autoSpaceDE/>
        <w:bidi w:val="0"/>
        <w:adjustRightInd/>
        <w:snapToGrid/>
        <w:ind w:firstLine="1960" w:firstLineChars="700"/>
        <w:rPr>
          <w:rFonts w:hint="eastAsia"/>
          <w:sz w:val="28"/>
          <w:szCs w:val="28"/>
        </w:rPr>
      </w:pPr>
      <w:r>
        <w:rPr>
          <w:rFonts w:hint="eastAsia"/>
          <w:sz w:val="28"/>
          <w:szCs w:val="28"/>
          <w:lang w:val="en-US" w:eastAsia="zh-CN"/>
        </w:rPr>
        <w:t>2、</w:t>
      </w:r>
      <w:r>
        <w:rPr>
          <w:rFonts w:hint="eastAsia"/>
          <w:sz w:val="28"/>
          <w:szCs w:val="28"/>
        </w:rPr>
        <w:t>工会</w:t>
      </w:r>
    </w:p>
    <w:p w14:paraId="197F4AD7">
      <w:pPr>
        <w:keepNext w:val="0"/>
        <w:keepLines w:val="0"/>
        <w:pageBreakBefore w:val="0"/>
        <w:widowControl/>
        <w:numPr>
          <w:ilvl w:val="0"/>
          <w:numId w:val="0"/>
        </w:numPr>
        <w:kinsoku/>
        <w:wordWrap/>
        <w:overflowPunct/>
        <w:topLinePunct w:val="0"/>
        <w:autoSpaceDE/>
        <w:bidi w:val="0"/>
        <w:adjustRightInd/>
        <w:snapToGrid/>
        <w:ind w:firstLine="1960" w:firstLineChars="700"/>
        <w:rPr>
          <w:rFonts w:hint="eastAsia"/>
          <w:sz w:val="28"/>
          <w:szCs w:val="28"/>
        </w:rPr>
      </w:pPr>
      <w:r>
        <w:rPr>
          <w:rFonts w:hint="eastAsia"/>
          <w:sz w:val="28"/>
          <w:szCs w:val="28"/>
          <w:lang w:val="en-US" w:eastAsia="zh-CN"/>
        </w:rPr>
        <w:t>3、</w:t>
      </w:r>
      <w:r>
        <w:rPr>
          <w:rFonts w:hint="eastAsia"/>
          <w:sz w:val="28"/>
          <w:szCs w:val="28"/>
        </w:rPr>
        <w:t>团委</w:t>
      </w:r>
    </w:p>
    <w:p w14:paraId="7AFC58FB">
      <w:pPr>
        <w:keepNext w:val="0"/>
        <w:keepLines w:val="0"/>
        <w:pageBreakBefore w:val="0"/>
        <w:widowControl/>
        <w:kinsoku/>
        <w:wordWrap/>
        <w:overflowPunct/>
        <w:topLinePunct w:val="0"/>
        <w:autoSpaceDE/>
        <w:bidi w:val="0"/>
        <w:adjustRightInd/>
        <w:snapToGrid/>
        <w:ind w:left="1440" w:firstLine="560" w:firstLineChars="200"/>
        <w:rPr>
          <w:rFonts w:hint="eastAsia"/>
          <w:sz w:val="28"/>
          <w:szCs w:val="28"/>
        </w:rPr>
      </w:pPr>
      <w:r>
        <w:rPr>
          <w:rFonts w:hint="eastAsia"/>
          <w:sz w:val="28"/>
          <w:szCs w:val="28"/>
        </w:rPr>
        <w:t>4、教务科</w:t>
      </w:r>
    </w:p>
    <w:p w14:paraId="714CD5C9">
      <w:pPr>
        <w:keepNext w:val="0"/>
        <w:keepLines w:val="0"/>
        <w:pageBreakBefore w:val="0"/>
        <w:widowControl/>
        <w:kinsoku/>
        <w:wordWrap/>
        <w:overflowPunct/>
        <w:topLinePunct w:val="0"/>
        <w:autoSpaceDE/>
        <w:bidi w:val="0"/>
        <w:adjustRightInd/>
        <w:snapToGrid/>
        <w:ind w:left="1440" w:firstLine="560" w:firstLineChars="200"/>
        <w:rPr>
          <w:rFonts w:hint="eastAsia"/>
          <w:sz w:val="28"/>
          <w:szCs w:val="28"/>
        </w:rPr>
      </w:pPr>
      <w:r>
        <w:rPr>
          <w:rFonts w:hint="eastAsia"/>
          <w:sz w:val="28"/>
          <w:szCs w:val="28"/>
        </w:rPr>
        <w:t>5、教学研究与创新中心</w:t>
      </w:r>
    </w:p>
    <w:p w14:paraId="2AC25EB5">
      <w:pPr>
        <w:keepNext w:val="0"/>
        <w:keepLines w:val="0"/>
        <w:pageBreakBefore w:val="0"/>
        <w:widowControl/>
        <w:kinsoku/>
        <w:wordWrap/>
        <w:overflowPunct/>
        <w:topLinePunct w:val="0"/>
        <w:autoSpaceDE/>
        <w:bidi w:val="0"/>
        <w:adjustRightInd/>
        <w:snapToGrid/>
        <w:ind w:left="1440" w:firstLine="560" w:firstLineChars="200"/>
        <w:rPr>
          <w:rFonts w:hint="eastAsia"/>
          <w:sz w:val="28"/>
          <w:szCs w:val="28"/>
        </w:rPr>
      </w:pPr>
      <w:r>
        <w:rPr>
          <w:rFonts w:hint="eastAsia"/>
          <w:sz w:val="28"/>
          <w:szCs w:val="28"/>
        </w:rPr>
        <w:t>6、政教科</w:t>
      </w:r>
    </w:p>
    <w:p w14:paraId="69C65C2C">
      <w:pPr>
        <w:keepNext w:val="0"/>
        <w:keepLines w:val="0"/>
        <w:pageBreakBefore w:val="0"/>
        <w:widowControl/>
        <w:kinsoku/>
        <w:wordWrap/>
        <w:overflowPunct/>
        <w:topLinePunct w:val="0"/>
        <w:autoSpaceDE/>
        <w:bidi w:val="0"/>
        <w:adjustRightInd/>
        <w:snapToGrid/>
        <w:ind w:left="1440" w:firstLine="560" w:firstLineChars="200"/>
        <w:rPr>
          <w:rFonts w:hint="eastAsia"/>
          <w:sz w:val="28"/>
          <w:szCs w:val="28"/>
        </w:rPr>
      </w:pPr>
      <w:r>
        <w:rPr>
          <w:rFonts w:hint="eastAsia"/>
          <w:sz w:val="28"/>
          <w:szCs w:val="28"/>
        </w:rPr>
        <w:t>7、总务科</w:t>
      </w:r>
    </w:p>
    <w:p w14:paraId="513C9E10">
      <w:pPr>
        <w:keepNext w:val="0"/>
        <w:keepLines w:val="0"/>
        <w:pageBreakBefore w:val="0"/>
        <w:widowControl/>
        <w:kinsoku/>
        <w:wordWrap/>
        <w:overflowPunct/>
        <w:topLinePunct w:val="0"/>
        <w:autoSpaceDE/>
        <w:bidi w:val="0"/>
        <w:adjustRightInd/>
        <w:snapToGrid/>
        <w:ind w:left="1440" w:firstLine="560" w:firstLineChars="200"/>
        <w:rPr>
          <w:rFonts w:hint="eastAsia"/>
          <w:sz w:val="28"/>
          <w:szCs w:val="28"/>
        </w:rPr>
      </w:pPr>
      <w:r>
        <w:rPr>
          <w:rFonts w:hint="eastAsia"/>
          <w:sz w:val="28"/>
          <w:szCs w:val="28"/>
        </w:rPr>
        <w:t>8、综合素质管理科</w:t>
      </w:r>
    </w:p>
    <w:p w14:paraId="182F84ED">
      <w:pPr>
        <w:keepNext w:val="0"/>
        <w:keepLines w:val="0"/>
        <w:pageBreakBefore w:val="0"/>
        <w:widowControl/>
        <w:kinsoku/>
        <w:wordWrap/>
        <w:overflowPunct/>
        <w:topLinePunct w:val="0"/>
        <w:autoSpaceDE/>
        <w:bidi w:val="0"/>
        <w:adjustRightInd/>
        <w:snapToGrid/>
        <w:ind w:left="1440" w:firstLine="560" w:firstLineChars="200"/>
        <w:rPr>
          <w:rFonts w:hint="eastAsia"/>
          <w:sz w:val="28"/>
          <w:szCs w:val="28"/>
        </w:rPr>
      </w:pPr>
      <w:r>
        <w:rPr>
          <w:rFonts w:hint="eastAsia"/>
          <w:sz w:val="28"/>
          <w:szCs w:val="28"/>
        </w:rPr>
        <w:t>9、对外交流中心</w:t>
      </w:r>
    </w:p>
    <w:p w14:paraId="7A5076E1">
      <w:pPr>
        <w:keepNext w:val="0"/>
        <w:keepLines w:val="0"/>
        <w:pageBreakBefore w:val="0"/>
        <w:widowControl/>
        <w:kinsoku/>
        <w:wordWrap/>
        <w:overflowPunct/>
        <w:topLinePunct w:val="0"/>
        <w:autoSpaceDE/>
        <w:bidi w:val="0"/>
        <w:adjustRightInd/>
        <w:snapToGrid/>
        <w:ind w:left="1440" w:firstLine="560" w:firstLineChars="200"/>
        <w:rPr>
          <w:rFonts w:hint="eastAsia" w:ascii="黑体" w:hAnsi="ˎ̥" w:eastAsia="黑体"/>
          <w:sz w:val="32"/>
          <w:szCs w:val="32"/>
        </w:rPr>
      </w:pPr>
      <w:r>
        <w:rPr>
          <w:rFonts w:hint="eastAsia"/>
          <w:sz w:val="28"/>
          <w:szCs w:val="28"/>
        </w:rPr>
        <w:t>10、初中部</w:t>
      </w:r>
    </w:p>
    <w:bookmarkEnd w:id="8"/>
    <w:bookmarkEnd w:id="9"/>
    <w:bookmarkEnd w:id="10"/>
    <w:bookmarkEnd w:id="11"/>
    <w:bookmarkEnd w:id="12"/>
    <w:bookmarkEnd w:id="13"/>
    <w:p w14:paraId="149848AF">
      <w:pPr>
        <w:spacing w:line="578" w:lineRule="exact"/>
        <w:jc w:val="both"/>
        <w:rPr>
          <w:rFonts w:hint="eastAsia" w:ascii="黑体" w:hAnsi="ˎ̥" w:eastAsia="黑体"/>
          <w:sz w:val="32"/>
          <w:szCs w:val="32"/>
        </w:rPr>
      </w:pPr>
      <w:bookmarkStart w:id="14" w:name="_Toc6234_WPSOffice_Level1"/>
      <w:bookmarkStart w:id="15" w:name="_Toc30690_WPSOffice_Level1"/>
      <w:bookmarkStart w:id="16" w:name="_Toc15521_WPSOffice_Level1"/>
      <w:bookmarkStart w:id="17" w:name="_Toc28253_WPSOffice_Level1"/>
      <w:bookmarkStart w:id="18" w:name="_Toc8164_WPSOffice_Level1"/>
      <w:bookmarkStart w:id="19" w:name="_Toc30451_WPSOffice_Level1"/>
      <w:bookmarkStart w:id="20" w:name="_Toc11518_WPSOffice_Level2"/>
      <w:bookmarkStart w:id="21" w:name="_Toc6211_WPSOffice_Level2"/>
      <w:bookmarkStart w:id="22" w:name="_Toc8867_WPSOffice_Level2"/>
      <w:bookmarkStart w:id="23" w:name="_Toc32695_WPSOffice_Level2"/>
      <w:bookmarkStart w:id="24" w:name="_Toc32472_WPSOffice_Level2"/>
      <w:bookmarkStart w:id="25" w:name="_Toc4029_WPSOffice_Level2"/>
    </w:p>
    <w:p w14:paraId="5ABA64D5">
      <w:pPr>
        <w:spacing w:line="578" w:lineRule="exact"/>
        <w:jc w:val="center"/>
        <w:rPr>
          <w:rFonts w:hint="eastAsia" w:ascii="黑体" w:hAnsi="ˎ̥" w:eastAsia="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年度部门决算公开报表</w:t>
      </w:r>
      <w:bookmarkEnd w:id="14"/>
      <w:bookmarkEnd w:id="15"/>
      <w:bookmarkEnd w:id="16"/>
      <w:bookmarkEnd w:id="17"/>
      <w:bookmarkEnd w:id="18"/>
      <w:bookmarkEnd w:id="19"/>
    </w:p>
    <w:p w14:paraId="1A7D1292">
      <w:pPr>
        <w:spacing w:line="578" w:lineRule="exact"/>
        <w:ind w:firstLine="645"/>
        <w:rPr>
          <w:rFonts w:hint="eastAsia" w:ascii="黑体" w:hAnsi="黑体" w:eastAsia="黑体" w:cs="黑体"/>
          <w:sz w:val="32"/>
          <w:szCs w:val="32"/>
        </w:rPr>
      </w:pPr>
    </w:p>
    <w:p w14:paraId="4609FEC3">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0"/>
      <w:bookmarkEnd w:id="21"/>
      <w:bookmarkEnd w:id="22"/>
      <w:bookmarkEnd w:id="23"/>
      <w:bookmarkEnd w:id="24"/>
      <w:bookmarkEnd w:id="25"/>
    </w:p>
    <w:p w14:paraId="646AEC68">
      <w:pPr>
        <w:spacing w:line="578" w:lineRule="exact"/>
        <w:ind w:firstLine="645"/>
        <w:rPr>
          <w:rFonts w:hint="eastAsia" w:ascii="黑体" w:hAnsi="黑体" w:eastAsia="黑体" w:cs="黑体"/>
          <w:sz w:val="32"/>
          <w:szCs w:val="32"/>
        </w:rPr>
      </w:pPr>
      <w:bookmarkStart w:id="26" w:name="_Toc30334_WPSOffice_Level2"/>
      <w:bookmarkStart w:id="27" w:name="_Toc14349_WPSOffice_Level2"/>
      <w:bookmarkStart w:id="28" w:name="_Toc23139_WPSOffice_Level2"/>
      <w:bookmarkStart w:id="29" w:name="_Toc28622_WPSOffice_Level2"/>
      <w:bookmarkStart w:id="30" w:name="_Toc26621_WPSOffice_Level2"/>
      <w:bookmarkStart w:id="31" w:name="_Toc25608_WPSOffice_Level2"/>
      <w:r>
        <w:rPr>
          <w:rFonts w:hint="eastAsia" w:ascii="黑体" w:hAnsi="黑体" w:eastAsia="黑体" w:cs="黑体"/>
          <w:sz w:val="32"/>
          <w:szCs w:val="32"/>
        </w:rPr>
        <w:t>二、收入决算公开表</w:t>
      </w:r>
      <w:bookmarkEnd w:id="26"/>
      <w:bookmarkEnd w:id="27"/>
      <w:bookmarkEnd w:id="28"/>
      <w:bookmarkEnd w:id="29"/>
      <w:bookmarkEnd w:id="30"/>
      <w:bookmarkEnd w:id="31"/>
      <w:bookmarkStart w:id="32" w:name="_Toc17858_WPSOffice_Level2"/>
      <w:bookmarkStart w:id="33" w:name="_Toc5489_WPSOffice_Level2"/>
      <w:bookmarkStart w:id="34" w:name="_Toc3262_WPSOffice_Level2"/>
      <w:bookmarkStart w:id="35" w:name="_Toc13854_WPSOffice_Level2"/>
      <w:bookmarkStart w:id="36" w:name="_Toc14658_WPSOffice_Level2"/>
      <w:bookmarkStart w:id="37" w:name="_Toc17626_WPSOffice_Level2"/>
    </w:p>
    <w:p w14:paraId="2D43FEAF">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三、支出决算公开表</w:t>
      </w:r>
      <w:bookmarkEnd w:id="32"/>
      <w:bookmarkEnd w:id="33"/>
      <w:bookmarkEnd w:id="34"/>
      <w:bookmarkEnd w:id="35"/>
      <w:bookmarkEnd w:id="36"/>
      <w:bookmarkEnd w:id="37"/>
      <w:bookmarkStart w:id="38" w:name="_Toc23493_WPSOffice_Level2"/>
      <w:bookmarkStart w:id="39" w:name="_Toc7988_WPSOffice_Level2"/>
      <w:bookmarkStart w:id="40" w:name="_Toc4265_WPSOffice_Level2"/>
      <w:bookmarkStart w:id="41" w:name="_Toc21415_WPSOffice_Level2"/>
      <w:bookmarkStart w:id="42" w:name="_Toc23591_WPSOffice_Level2"/>
      <w:bookmarkStart w:id="43" w:name="_Toc13701_WPSOffice_Level2"/>
    </w:p>
    <w:p w14:paraId="466CE0B2">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38"/>
      <w:bookmarkEnd w:id="39"/>
      <w:bookmarkEnd w:id="40"/>
      <w:bookmarkEnd w:id="41"/>
      <w:bookmarkEnd w:id="42"/>
      <w:bookmarkEnd w:id="43"/>
    </w:p>
    <w:p w14:paraId="1CA1AAB7">
      <w:pPr>
        <w:spacing w:line="578" w:lineRule="exact"/>
        <w:ind w:firstLine="645"/>
        <w:rPr>
          <w:rFonts w:hint="eastAsia" w:ascii="黑体" w:hAnsi="黑体" w:eastAsia="黑体" w:cs="黑体"/>
          <w:sz w:val="32"/>
          <w:szCs w:val="32"/>
        </w:rPr>
      </w:pPr>
      <w:bookmarkStart w:id="44" w:name="_Toc23829_WPSOffice_Level2"/>
      <w:bookmarkStart w:id="45" w:name="_Toc7879_WPSOffice_Level2"/>
      <w:bookmarkStart w:id="46" w:name="_Toc22783_WPSOffice_Level2"/>
      <w:bookmarkStart w:id="47" w:name="_Toc25166_WPSOffice_Level2"/>
      <w:bookmarkStart w:id="48" w:name="_Toc2158_WPSOffice_Level2"/>
      <w:bookmarkStart w:id="49" w:name="_Toc13516_WPSOffice_Level2"/>
      <w:r>
        <w:rPr>
          <w:rFonts w:hint="eastAsia" w:ascii="黑体" w:hAnsi="黑体" w:eastAsia="黑体" w:cs="黑体"/>
          <w:sz w:val="32"/>
          <w:szCs w:val="32"/>
        </w:rPr>
        <w:t>五、一般公共预算财政拨款收入支出决算</w:t>
      </w:r>
      <w:bookmarkEnd w:id="44"/>
      <w:bookmarkEnd w:id="45"/>
      <w:bookmarkEnd w:id="46"/>
      <w:bookmarkEnd w:id="47"/>
      <w:r>
        <w:rPr>
          <w:rFonts w:hint="eastAsia" w:ascii="黑体" w:hAnsi="黑体" w:eastAsia="黑体" w:cs="黑体"/>
          <w:sz w:val="32"/>
          <w:szCs w:val="32"/>
        </w:rPr>
        <w:t>公开表</w:t>
      </w:r>
      <w:bookmarkEnd w:id="48"/>
      <w:bookmarkEnd w:id="49"/>
      <w:bookmarkStart w:id="50" w:name="_Toc25362_WPSOffice_Level2"/>
      <w:bookmarkStart w:id="51" w:name="_Toc17833_WPSOffice_Level2"/>
      <w:bookmarkStart w:id="52" w:name="_Toc8373_WPSOffice_Level2"/>
      <w:bookmarkStart w:id="53" w:name="_Toc2632_WPSOffice_Level2"/>
      <w:bookmarkStart w:id="54" w:name="_Toc17283_WPSOffice_Level2"/>
      <w:bookmarkStart w:id="55" w:name="_Toc5343_WPSOffice_Level2"/>
    </w:p>
    <w:p w14:paraId="163493D2">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0"/>
      <w:bookmarkEnd w:id="51"/>
      <w:bookmarkEnd w:id="52"/>
      <w:bookmarkEnd w:id="53"/>
      <w:bookmarkEnd w:id="54"/>
      <w:bookmarkEnd w:id="55"/>
      <w:r>
        <w:rPr>
          <w:rFonts w:hint="eastAsia" w:ascii="黑体" w:hAnsi="黑体" w:eastAsia="黑体" w:cs="黑体"/>
          <w:sz w:val="32"/>
          <w:szCs w:val="32"/>
        </w:rPr>
        <w:t>公开表</w:t>
      </w:r>
    </w:p>
    <w:p w14:paraId="11250B0D">
      <w:pPr>
        <w:spacing w:line="578" w:lineRule="exact"/>
        <w:ind w:left="1118" w:leftChars="304" w:hanging="480" w:hangingChars="150"/>
        <w:rPr>
          <w:rFonts w:hint="eastAsia" w:ascii="黑体" w:hAnsi="黑体" w:eastAsia="黑体" w:cs="黑体"/>
          <w:sz w:val="32"/>
          <w:szCs w:val="32"/>
        </w:rPr>
      </w:pPr>
      <w:bookmarkStart w:id="56" w:name="_Toc6020_WPSOffice_Level2"/>
      <w:bookmarkStart w:id="57" w:name="_Toc1533_WPSOffice_Level2"/>
      <w:bookmarkStart w:id="58" w:name="_Toc13345_WPSOffice_Level2"/>
      <w:bookmarkStart w:id="59" w:name="_Toc5594_WPSOffice_Level2"/>
      <w:bookmarkStart w:id="60" w:name="_Toc11799_WPSOffice_Level2"/>
      <w:bookmarkStart w:id="61" w:name="_Toc21310_WPSOffice_Level2"/>
      <w:r>
        <w:rPr>
          <w:rFonts w:hint="eastAsia" w:ascii="黑体" w:hAnsi="黑体" w:eastAsia="黑体" w:cs="黑体"/>
          <w:sz w:val="32"/>
          <w:szCs w:val="32"/>
        </w:rPr>
        <w:t>七、政府性基金预算财政拨款收入支出决算</w:t>
      </w:r>
      <w:bookmarkEnd w:id="56"/>
      <w:bookmarkEnd w:id="57"/>
      <w:bookmarkEnd w:id="58"/>
      <w:bookmarkEnd w:id="59"/>
      <w:bookmarkEnd w:id="60"/>
      <w:bookmarkEnd w:id="61"/>
      <w:r>
        <w:rPr>
          <w:rFonts w:hint="eastAsia" w:ascii="黑体" w:hAnsi="黑体" w:eastAsia="黑体" w:cs="黑体"/>
          <w:sz w:val="32"/>
          <w:szCs w:val="32"/>
        </w:rPr>
        <w:t>公开表</w:t>
      </w:r>
    </w:p>
    <w:p w14:paraId="33B6C1DC">
      <w:pPr>
        <w:spacing w:line="578" w:lineRule="exact"/>
        <w:ind w:left="1118" w:leftChars="304" w:hanging="480" w:hangingChars="15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14:paraId="6225979D">
      <w:pPr>
        <w:spacing w:line="578" w:lineRule="exact"/>
        <w:ind w:firstLine="640"/>
        <w:rPr>
          <w:rFonts w:hint="eastAsia" w:ascii="黑体" w:hAnsi="黑体" w:eastAsia="黑体" w:cs="黑体"/>
          <w:sz w:val="32"/>
          <w:szCs w:val="32"/>
        </w:rPr>
      </w:pPr>
      <w:bookmarkStart w:id="62" w:name="_Toc19961_WPSOffice_Level2"/>
      <w:bookmarkStart w:id="63" w:name="_Toc9377_WPSOffice_Level2"/>
      <w:bookmarkStart w:id="64" w:name="_Toc29886_WPSOffice_Level2"/>
      <w:bookmarkStart w:id="65" w:name="_Toc1820_WPSOffice_Level2"/>
      <w:r>
        <w:rPr>
          <w:rFonts w:hint="eastAsia" w:ascii="黑体" w:hAnsi="黑体" w:eastAsia="黑体" w:cs="黑体"/>
          <w:sz w:val="32"/>
          <w:szCs w:val="32"/>
        </w:rPr>
        <w:t>九、财政拨款“三公”经费支出决算</w:t>
      </w:r>
      <w:bookmarkEnd w:id="62"/>
      <w:bookmarkEnd w:id="63"/>
      <w:bookmarkEnd w:id="64"/>
      <w:bookmarkEnd w:id="65"/>
      <w:r>
        <w:rPr>
          <w:rFonts w:hint="eastAsia" w:ascii="黑体" w:hAnsi="黑体" w:eastAsia="黑体" w:cs="黑体"/>
          <w:sz w:val="32"/>
          <w:szCs w:val="32"/>
        </w:rPr>
        <w:t>公开表</w:t>
      </w:r>
    </w:p>
    <w:p w14:paraId="752E8721">
      <w:pPr>
        <w:spacing w:line="578" w:lineRule="exact"/>
        <w:ind w:firstLine="640"/>
        <w:rPr>
          <w:rFonts w:hint="eastAsia" w:ascii="仿宋" w:hAnsi="仿宋" w:eastAsia="仿宋" w:cs="仿宋"/>
          <w:w w:val="100"/>
          <w:sz w:val="32"/>
          <w:szCs w:val="32"/>
        </w:rPr>
      </w:pPr>
      <w:r>
        <w:rPr>
          <w:rFonts w:hint="eastAsia" w:ascii="仿宋" w:hAnsi="仿宋" w:eastAsia="仿宋" w:cs="仿宋"/>
          <w:w w:val="100"/>
          <w:sz w:val="32"/>
          <w:szCs w:val="32"/>
        </w:rPr>
        <w:t xml:space="preserve">以上报表见附件1。   </w:t>
      </w:r>
    </w:p>
    <w:p w14:paraId="5B482E07">
      <w:pPr>
        <w:spacing w:line="578" w:lineRule="exact"/>
        <w:rPr>
          <w:rFonts w:hint="eastAsia" w:ascii="黑体" w:hAnsi="黑体" w:eastAsia="黑体" w:cs="黑体"/>
          <w:sz w:val="32"/>
          <w:szCs w:val="32"/>
        </w:rPr>
      </w:pPr>
    </w:p>
    <w:p w14:paraId="31BF6332">
      <w:pPr>
        <w:spacing w:line="578" w:lineRule="exact"/>
        <w:jc w:val="center"/>
        <w:rPr>
          <w:rFonts w:hint="eastAsia" w:ascii="黑体" w:hAnsi="ˎ̥" w:eastAsia="黑体"/>
          <w:sz w:val="32"/>
          <w:szCs w:val="32"/>
        </w:rPr>
      </w:pPr>
      <w:bookmarkStart w:id="66" w:name="_Toc4402_WPSOffice_Level1"/>
      <w:bookmarkStart w:id="67" w:name="_Toc27590_WPSOffice_Level1"/>
      <w:bookmarkStart w:id="68" w:name="_Toc31264_WPSOffice_Level1"/>
      <w:bookmarkStart w:id="69" w:name="_Toc28629_WPSOffice_Level1"/>
      <w:bookmarkStart w:id="70" w:name="_Toc29683_WPSOffice_Level1"/>
      <w:bookmarkStart w:id="71" w:name="_Toc16686_WPSOffice_Level1"/>
      <w:r>
        <w:rPr>
          <w:rFonts w:hint="eastAsia" w:ascii="黑体" w:hAnsi="ˎ̥" w:eastAsia="黑体"/>
          <w:sz w:val="32"/>
          <w:szCs w:val="32"/>
        </w:rPr>
        <w:t xml:space="preserve">第三部分  </w:t>
      </w:r>
      <w:r>
        <w:rPr>
          <w:rFonts w:hint="default" w:ascii="黑体" w:hAnsi="ˎ̥" w:eastAsia="黑体"/>
          <w:sz w:val="32"/>
          <w:szCs w:val="32"/>
          <w:lang w:val="en-US"/>
        </w:rPr>
        <w:t>2025</w:t>
      </w:r>
      <w:r>
        <w:rPr>
          <w:rFonts w:hint="eastAsia" w:ascii="黑体" w:hAnsi="ˎ̥" w:eastAsia="黑体"/>
          <w:sz w:val="32"/>
          <w:szCs w:val="32"/>
        </w:rPr>
        <w:t>年度部门决算情况说明</w:t>
      </w:r>
      <w:bookmarkEnd w:id="66"/>
      <w:bookmarkEnd w:id="67"/>
      <w:bookmarkEnd w:id="68"/>
      <w:bookmarkEnd w:id="69"/>
      <w:bookmarkEnd w:id="70"/>
      <w:bookmarkEnd w:id="71"/>
    </w:p>
    <w:p w14:paraId="0108672B">
      <w:pPr>
        <w:spacing w:line="578" w:lineRule="exact"/>
        <w:jc w:val="center"/>
        <w:rPr>
          <w:rFonts w:hint="eastAsia" w:ascii="黑体" w:hAnsi="ˎ̥" w:eastAsia="黑体"/>
          <w:sz w:val="32"/>
          <w:szCs w:val="32"/>
        </w:rPr>
      </w:pPr>
    </w:p>
    <w:p w14:paraId="594A6C42">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收入支出总体情况说明</w:t>
      </w:r>
    </w:p>
    <w:p w14:paraId="5EC6A282">
      <w:pPr>
        <w:keepNext w:val="0"/>
        <w:keepLines w:val="0"/>
        <w:pageBreakBefore w:val="0"/>
        <w:widowControl/>
        <w:kinsoku/>
        <w:wordWrap/>
        <w:overflowPunct/>
        <w:topLinePunct w:val="0"/>
        <w:autoSpaceDE/>
        <w:bidi w:val="0"/>
        <w:adjustRightInd/>
        <w:snapToGrid/>
        <w:spacing w:after="100" w:afterAutospacing="1"/>
        <w:ind w:firstLine="640" w:firstLineChars="200"/>
        <w:rPr>
          <w:rFonts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年度收入总计</w:t>
      </w:r>
      <w:r>
        <w:rPr>
          <w:rFonts w:hint="eastAsia" w:ascii="仿宋" w:hAnsi="仿宋" w:eastAsia="仿宋" w:cs="仿宋"/>
          <w:color w:val="auto"/>
          <w:sz w:val="32"/>
          <w:szCs w:val="32"/>
          <w:lang w:val="en-US"/>
        </w:rPr>
        <w:t>10,117.00</w:t>
      </w:r>
      <w:r>
        <w:rPr>
          <w:rFonts w:hint="eastAsia" w:ascii="仿宋" w:hAnsi="仿宋" w:eastAsia="仿宋" w:cs="仿宋"/>
          <w:color w:val="auto"/>
          <w:sz w:val="32"/>
          <w:szCs w:val="32"/>
        </w:rPr>
        <w:t>万元，支出总计</w:t>
      </w:r>
      <w:r>
        <w:rPr>
          <w:rFonts w:hint="eastAsia" w:ascii="仿宋" w:hAnsi="仿宋" w:eastAsia="仿宋" w:cs="仿宋"/>
          <w:color w:val="auto"/>
          <w:sz w:val="32"/>
          <w:szCs w:val="32"/>
          <w:lang w:val="en-US"/>
        </w:rPr>
        <w:t>10,117.00</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年度相比，收入、支出总计各减少</w:t>
      </w:r>
      <w:r>
        <w:rPr>
          <w:rFonts w:hint="eastAsia" w:ascii="仿宋" w:hAnsi="仿宋" w:eastAsia="仿宋" w:cs="仿宋"/>
          <w:color w:val="auto"/>
          <w:sz w:val="32"/>
          <w:szCs w:val="32"/>
          <w:lang w:val="en-US" w:eastAsia="zh-CN"/>
        </w:rPr>
        <w:t>2,298.05</w:t>
      </w:r>
      <w:r>
        <w:rPr>
          <w:rFonts w:hint="eastAsia" w:ascii="仿宋" w:hAnsi="仿宋" w:eastAsia="仿宋" w:cs="仿宋"/>
          <w:color w:val="auto"/>
          <w:sz w:val="32"/>
          <w:szCs w:val="32"/>
        </w:rPr>
        <w:t>万元，</w:t>
      </w:r>
      <w:r>
        <w:rPr>
          <w:rFonts w:hint="eastAsia" w:ascii="仿宋_GB2312" w:hAnsi="ˎ̥" w:eastAsia="仿宋_GB2312"/>
          <w:color w:val="auto"/>
          <w:sz w:val="32"/>
          <w:szCs w:val="32"/>
        </w:rPr>
        <w:t>下降</w:t>
      </w:r>
      <w:r>
        <w:rPr>
          <w:rFonts w:hint="eastAsia" w:ascii="仿宋_GB2312" w:hAnsi="ˎ̥" w:eastAsia="仿宋_GB2312"/>
          <w:color w:val="auto"/>
          <w:sz w:val="32"/>
          <w:szCs w:val="32"/>
          <w:lang w:val="en-US" w:eastAsia="zh-CN"/>
        </w:rPr>
        <w:t>18.51</w:t>
      </w:r>
      <w:r>
        <w:rPr>
          <w:rFonts w:hint="eastAsia" w:ascii="仿宋_GB2312" w:hAnsi="ˎ̥" w:eastAsia="仿宋_GB2312"/>
          <w:color w:val="auto"/>
          <w:sz w:val="32"/>
          <w:szCs w:val="32"/>
        </w:rPr>
        <w:t>%。主要原因：</w:t>
      </w:r>
      <w:r>
        <w:rPr>
          <w:rFonts w:hint="eastAsia" w:ascii="仿宋" w:hAnsi="仿宋" w:eastAsia="仿宋" w:cs="仿宋"/>
          <w:color w:val="auto"/>
          <w:sz w:val="32"/>
          <w:szCs w:val="32"/>
        </w:rPr>
        <w:t>项目经费财政拨款减少。</w:t>
      </w:r>
    </w:p>
    <w:p w14:paraId="05B8AFD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color w:val="auto"/>
          <w:sz w:val="32"/>
          <w:szCs w:val="32"/>
        </w:rPr>
      </w:pPr>
      <w:r>
        <w:rPr>
          <w:rFonts w:hint="eastAsia" w:ascii="楷体" w:hAnsi="楷体" w:eastAsia="楷体" w:cs="楷体"/>
          <w:color w:val="auto"/>
          <w:sz w:val="32"/>
          <w:szCs w:val="32"/>
        </w:rPr>
        <w:t>（一</w:t>
      </w:r>
      <w:r>
        <w:rPr>
          <w:rFonts w:ascii="楷体" w:hAnsi="楷体" w:eastAsia="楷体" w:cs="楷体"/>
          <w:color w:val="auto"/>
          <w:sz w:val="32"/>
          <w:szCs w:val="32"/>
        </w:rPr>
        <w:t>）</w:t>
      </w:r>
      <w:r>
        <w:rPr>
          <w:rFonts w:hint="eastAsia" w:ascii="楷体" w:hAnsi="楷体" w:eastAsia="楷体" w:cs="楷体"/>
          <w:color w:val="auto"/>
          <w:sz w:val="32"/>
          <w:szCs w:val="32"/>
        </w:rPr>
        <w:t>收入</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596A4F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9,883.13</w:t>
      </w:r>
      <w:r>
        <w:rPr>
          <w:rFonts w:hint="eastAsia" w:ascii="仿宋" w:hAnsi="仿宋" w:eastAsia="仿宋" w:cs="仿宋"/>
          <w:color w:val="auto"/>
          <w:sz w:val="32"/>
          <w:szCs w:val="32"/>
        </w:rPr>
        <w:t>万元。</w:t>
      </w:r>
    </w:p>
    <w:p w14:paraId="3AB6C10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使用非财政拨款结余</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w:t>
      </w:r>
      <w:r>
        <w:rPr>
          <w:rFonts w:hint="eastAsia" w:ascii="仿宋" w:hAnsi="仿宋" w:eastAsia="仿宋" w:cs="仿宋"/>
          <w:color w:val="auto"/>
          <w:sz w:val="32"/>
          <w:szCs w:val="32"/>
          <w:lang w:val="en-US" w:eastAsia="zh-CN"/>
        </w:rPr>
        <w:t>持平</w:t>
      </w:r>
      <w:r>
        <w:rPr>
          <w:rFonts w:hint="eastAsia" w:ascii="仿宋" w:hAnsi="仿宋" w:eastAsia="仿宋" w:cs="仿宋"/>
          <w:color w:val="auto"/>
          <w:sz w:val="32"/>
          <w:szCs w:val="32"/>
        </w:rPr>
        <w:t>。</w:t>
      </w:r>
    </w:p>
    <w:p w14:paraId="5B2819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 w:hAnsi="仿宋" w:eastAsia="仿宋" w:cs="仿宋"/>
          <w:color w:val="auto"/>
          <w:sz w:val="32"/>
          <w:szCs w:val="32"/>
        </w:rPr>
        <w:t>年初结转结余</w:t>
      </w:r>
      <w:r>
        <w:rPr>
          <w:rFonts w:hint="eastAsia" w:ascii="仿宋" w:hAnsi="仿宋" w:eastAsia="仿宋" w:cs="仿宋"/>
          <w:color w:val="auto"/>
          <w:sz w:val="32"/>
          <w:szCs w:val="32"/>
          <w:lang w:val="en-US"/>
        </w:rPr>
        <w:t>233.87</w:t>
      </w:r>
      <w:r>
        <w:rPr>
          <w:rFonts w:hint="eastAsia" w:ascii="仿宋" w:hAnsi="仿宋" w:eastAsia="仿宋" w:cs="仿宋"/>
          <w:color w:val="auto"/>
          <w:sz w:val="32"/>
          <w:szCs w:val="32"/>
        </w:rPr>
        <w:t>万元，主要是</w:t>
      </w:r>
      <w:r>
        <w:rPr>
          <w:rFonts w:hint="eastAsia" w:ascii="仿宋" w:hAnsi="仿宋" w:eastAsia="仿宋" w:cs="仿宋"/>
          <w:color w:val="auto"/>
          <w:sz w:val="32"/>
          <w:szCs w:val="32"/>
          <w:lang w:val="en-US" w:eastAsia="zh-CN"/>
        </w:rPr>
        <w:t>项目建设经费</w:t>
      </w:r>
      <w:r>
        <w:rPr>
          <w:rFonts w:hint="eastAsia" w:ascii="仿宋" w:hAnsi="仿宋" w:eastAsia="仿宋" w:cs="仿宋"/>
          <w:color w:val="auto"/>
          <w:sz w:val="32"/>
          <w:szCs w:val="32"/>
        </w:rPr>
        <w:t>，较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年度决算数增加</w:t>
      </w:r>
      <w:r>
        <w:rPr>
          <w:rFonts w:hint="eastAsia" w:ascii="仿宋" w:hAnsi="仿宋" w:eastAsia="仿宋" w:cs="仿宋"/>
          <w:color w:val="auto"/>
          <w:sz w:val="32"/>
          <w:szCs w:val="32"/>
          <w:lang w:val="en-US" w:eastAsia="zh-CN"/>
        </w:rPr>
        <w:t>44.64</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23.59</w:t>
      </w:r>
      <w:r>
        <w:rPr>
          <w:rFonts w:hint="eastAsia" w:ascii="仿宋" w:hAnsi="仿宋" w:eastAsia="仿宋" w:cs="仿宋"/>
          <w:color w:val="auto"/>
          <w:sz w:val="32"/>
          <w:szCs w:val="32"/>
        </w:rPr>
        <w:t>%，主要原因是</w:t>
      </w:r>
      <w:r>
        <w:rPr>
          <w:rFonts w:hint="eastAsia" w:ascii="仿宋" w:hAnsi="仿宋" w:eastAsia="仿宋" w:cs="仿宋"/>
          <w:color w:val="auto"/>
          <w:sz w:val="32"/>
          <w:szCs w:val="32"/>
          <w:lang w:val="en-US" w:eastAsia="zh-CN"/>
        </w:rPr>
        <w:t>项目建设经费有所增加</w:t>
      </w:r>
      <w:r>
        <w:rPr>
          <w:rFonts w:hint="eastAsia" w:ascii="仿宋" w:hAnsi="仿宋" w:eastAsia="仿宋" w:cs="仿宋"/>
          <w:color w:val="auto"/>
          <w:sz w:val="32"/>
          <w:szCs w:val="32"/>
        </w:rPr>
        <w:t>。</w:t>
      </w:r>
    </w:p>
    <w:p w14:paraId="74FADFF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rPr>
        <w:t>（二</w:t>
      </w:r>
      <w:r>
        <w:rPr>
          <w:rFonts w:ascii="楷体" w:hAnsi="楷体" w:eastAsia="楷体" w:cs="楷体"/>
          <w:color w:val="auto"/>
          <w:sz w:val="32"/>
          <w:szCs w:val="32"/>
        </w:rPr>
        <w:t>）</w:t>
      </w:r>
      <w:r>
        <w:rPr>
          <w:rFonts w:hint="eastAsia" w:ascii="楷体" w:hAnsi="楷体" w:eastAsia="楷体" w:cs="楷体"/>
          <w:color w:val="auto"/>
          <w:sz w:val="32"/>
          <w:szCs w:val="32"/>
        </w:rPr>
        <w:t>支出</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788E8B0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9,866.24</w:t>
      </w:r>
      <w:r>
        <w:rPr>
          <w:rFonts w:hint="eastAsia" w:ascii="仿宋" w:hAnsi="仿宋" w:eastAsia="仿宋" w:cs="仿宋"/>
          <w:color w:val="auto"/>
          <w:sz w:val="32"/>
          <w:szCs w:val="32"/>
        </w:rPr>
        <w:t>万元。</w:t>
      </w:r>
    </w:p>
    <w:p w14:paraId="3826849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结余分配</w:t>
      </w:r>
      <w:r>
        <w:rPr>
          <w:rFonts w:hint="eastAsia" w:ascii="仿宋" w:hAnsi="仿宋" w:eastAsia="仿宋" w:cs="仿宋"/>
          <w:color w:val="auto"/>
          <w:sz w:val="32"/>
          <w:szCs w:val="32"/>
          <w:lang w:val="en-US"/>
        </w:rPr>
        <w:t>0.52</w:t>
      </w:r>
      <w:r>
        <w:rPr>
          <w:rFonts w:hint="eastAsia" w:ascii="仿宋" w:hAnsi="仿宋" w:eastAsia="仿宋" w:cs="仿宋"/>
          <w:color w:val="auto"/>
          <w:sz w:val="32"/>
          <w:szCs w:val="32"/>
        </w:rPr>
        <w:t>万元，</w:t>
      </w:r>
      <w:r>
        <w:rPr>
          <w:rFonts w:hint="eastAsia" w:ascii="仿宋_GB2312" w:hAnsi="ˎ̥" w:eastAsia="仿宋_GB2312"/>
          <w:color w:val="auto"/>
          <w:sz w:val="32"/>
          <w:szCs w:val="32"/>
        </w:rPr>
        <w:t>主要是</w:t>
      </w:r>
      <w:r>
        <w:rPr>
          <w:rFonts w:hint="eastAsia" w:ascii="仿宋_GB2312" w:hAnsi="ˎ̥" w:eastAsia="仿宋_GB2312"/>
          <w:color w:val="auto"/>
          <w:sz w:val="32"/>
          <w:szCs w:val="32"/>
          <w:lang w:val="en-US" w:eastAsia="zh-CN"/>
        </w:rPr>
        <w:t>税费返还</w:t>
      </w:r>
      <w:r>
        <w:rPr>
          <w:rFonts w:hint="eastAsia" w:ascii="仿宋" w:hAnsi="仿宋" w:eastAsia="仿宋" w:cs="仿宋"/>
          <w:color w:val="auto"/>
          <w:sz w:val="32"/>
          <w:szCs w:val="32"/>
        </w:rPr>
        <w:t>，较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w:t>
      </w:r>
      <w:r>
        <w:rPr>
          <w:rFonts w:hint="eastAsia" w:ascii="仿宋" w:hAnsi="仿宋" w:eastAsia="仿宋" w:cs="仿宋"/>
          <w:color w:val="auto"/>
          <w:sz w:val="32"/>
          <w:szCs w:val="32"/>
          <w:lang w:val="en-US" w:eastAsia="zh-CN"/>
        </w:rPr>
        <w:t>数</w:t>
      </w:r>
      <w:r>
        <w:rPr>
          <w:rFonts w:hint="eastAsia" w:ascii="仿宋" w:hAnsi="仿宋" w:eastAsia="仿宋" w:cs="仿宋"/>
          <w:color w:val="auto"/>
          <w:sz w:val="32"/>
          <w:szCs w:val="32"/>
        </w:rPr>
        <w:t>减少</w:t>
      </w:r>
      <w:r>
        <w:rPr>
          <w:rFonts w:hint="eastAsia" w:ascii="仿宋" w:hAnsi="仿宋" w:eastAsia="仿宋" w:cs="仿宋"/>
          <w:color w:val="auto"/>
          <w:sz w:val="32"/>
          <w:szCs w:val="32"/>
          <w:lang w:val="en-US" w:eastAsia="zh-CN"/>
        </w:rPr>
        <w:t>2.4</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82.19</w:t>
      </w:r>
      <w:r>
        <w:rPr>
          <w:rFonts w:hint="eastAsia" w:ascii="仿宋" w:hAnsi="仿宋" w:eastAsia="仿宋" w:cs="仿宋"/>
          <w:color w:val="auto"/>
          <w:sz w:val="32"/>
          <w:szCs w:val="32"/>
        </w:rPr>
        <w:t>%，主要原因是</w:t>
      </w:r>
      <w:r>
        <w:rPr>
          <w:rFonts w:hint="eastAsia" w:ascii="仿宋_GB2312" w:hAnsi="ˎ̥" w:eastAsia="仿宋_GB2312"/>
          <w:color w:val="auto"/>
          <w:sz w:val="32"/>
          <w:szCs w:val="32"/>
          <w:lang w:val="en-US" w:eastAsia="zh-CN"/>
        </w:rPr>
        <w:t>税费返还有所减少</w:t>
      </w:r>
      <w:r>
        <w:rPr>
          <w:rFonts w:hint="eastAsia" w:ascii="仿宋" w:hAnsi="仿宋" w:eastAsia="仿宋" w:cs="仿宋"/>
          <w:color w:val="auto"/>
          <w:sz w:val="32"/>
          <w:szCs w:val="32"/>
        </w:rPr>
        <w:t>。</w:t>
      </w:r>
    </w:p>
    <w:p w14:paraId="33C8A0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年末结转结余</w:t>
      </w:r>
      <w:r>
        <w:rPr>
          <w:rFonts w:hint="eastAsia" w:ascii="仿宋" w:hAnsi="仿宋" w:eastAsia="仿宋" w:cs="仿宋"/>
          <w:color w:val="auto"/>
          <w:sz w:val="32"/>
          <w:szCs w:val="32"/>
          <w:lang w:val="en-US"/>
        </w:rPr>
        <w:t>250.24</w:t>
      </w:r>
      <w:r>
        <w:rPr>
          <w:rFonts w:hint="eastAsia" w:ascii="仿宋" w:hAnsi="仿宋" w:eastAsia="仿宋" w:cs="仿宋"/>
          <w:color w:val="auto"/>
          <w:sz w:val="32"/>
          <w:szCs w:val="32"/>
        </w:rPr>
        <w:t>万元，</w:t>
      </w:r>
      <w:r>
        <w:rPr>
          <w:rFonts w:hint="eastAsia" w:ascii="仿宋_GB2312" w:hAnsi="ˎ̥" w:eastAsia="仿宋_GB2312"/>
          <w:color w:val="auto"/>
          <w:sz w:val="32"/>
          <w:szCs w:val="32"/>
          <w:highlight w:val="none"/>
        </w:rPr>
        <w:t>主要是</w:t>
      </w:r>
      <w:r>
        <w:rPr>
          <w:rFonts w:hint="eastAsia" w:ascii="仿宋_GB2312" w:hAnsi="ˎ̥" w:eastAsia="仿宋_GB2312"/>
          <w:color w:val="auto"/>
          <w:sz w:val="32"/>
          <w:szCs w:val="32"/>
          <w:highlight w:val="none"/>
          <w:lang w:eastAsia="zh-CN"/>
        </w:rPr>
        <w:t>专项资金结转使用</w:t>
      </w:r>
      <w:r>
        <w:rPr>
          <w:rFonts w:hint="eastAsia" w:ascii="仿宋" w:hAnsi="仿宋" w:eastAsia="仿宋" w:cs="仿宋"/>
          <w:color w:val="auto"/>
          <w:sz w:val="32"/>
          <w:szCs w:val="32"/>
        </w:rPr>
        <w:t>，较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年度决算数增加</w:t>
      </w:r>
      <w:r>
        <w:rPr>
          <w:rFonts w:hint="eastAsia" w:ascii="仿宋" w:hAnsi="仿宋" w:eastAsia="仿宋" w:cs="仿宋"/>
          <w:color w:val="auto"/>
          <w:sz w:val="32"/>
          <w:szCs w:val="32"/>
          <w:lang w:val="en-US" w:eastAsia="zh-CN"/>
        </w:rPr>
        <w:t>11.60</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4.86</w:t>
      </w:r>
      <w:r>
        <w:rPr>
          <w:rFonts w:hint="eastAsia" w:ascii="仿宋" w:hAnsi="仿宋" w:eastAsia="仿宋" w:cs="仿宋"/>
          <w:color w:val="auto"/>
          <w:sz w:val="32"/>
          <w:szCs w:val="32"/>
        </w:rPr>
        <w:t>%，主要原因是</w:t>
      </w:r>
      <w:r>
        <w:rPr>
          <w:rFonts w:hint="eastAsia" w:ascii="仿宋_GB2312" w:hAnsi="ˎ̥" w:eastAsia="仿宋_GB2312"/>
          <w:color w:val="auto"/>
          <w:sz w:val="32"/>
          <w:szCs w:val="32"/>
          <w:highlight w:val="none"/>
        </w:rPr>
        <w:t>主要是</w:t>
      </w:r>
      <w:r>
        <w:rPr>
          <w:rFonts w:hint="eastAsia" w:ascii="仿宋_GB2312" w:hAnsi="ˎ̥" w:eastAsia="仿宋_GB2312"/>
          <w:color w:val="auto"/>
          <w:sz w:val="32"/>
          <w:szCs w:val="32"/>
          <w:highlight w:val="none"/>
          <w:lang w:eastAsia="zh-CN"/>
        </w:rPr>
        <w:t>专项资金</w:t>
      </w:r>
      <w:r>
        <w:rPr>
          <w:rFonts w:hint="eastAsia" w:ascii="仿宋_GB2312" w:hAnsi="ˎ̥" w:eastAsia="仿宋_GB2312"/>
          <w:color w:val="auto"/>
          <w:sz w:val="32"/>
          <w:szCs w:val="32"/>
          <w:highlight w:val="none"/>
          <w:lang w:val="en-US" w:eastAsia="zh-CN"/>
        </w:rPr>
        <w:t>有所增加</w:t>
      </w:r>
      <w:r>
        <w:rPr>
          <w:rFonts w:hint="eastAsia" w:ascii="仿宋" w:hAnsi="仿宋" w:eastAsia="仿宋" w:cs="仿宋"/>
          <w:color w:val="auto"/>
          <w:sz w:val="32"/>
          <w:szCs w:val="32"/>
        </w:rPr>
        <w:t>。</w:t>
      </w:r>
    </w:p>
    <w:p w14:paraId="5ABFB0D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rPr>
        <w:t>（注：</w:t>
      </w: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年度相关决算数据可取自附件财决公开01、02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03</w:t>
      </w:r>
      <w:r>
        <w:rPr>
          <w:rFonts w:hint="eastAsia" w:ascii="仿宋" w:hAnsi="仿宋" w:eastAsia="仿宋" w:cs="仿宋"/>
          <w:color w:val="auto"/>
          <w:sz w:val="32"/>
          <w:szCs w:val="32"/>
        </w:rPr>
        <w:t>表；</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年度相关决算数据可取自</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年度部门决算报表财决01表《收入支出决算总表》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1CA2D923">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收入决算情况说明</w:t>
      </w:r>
    </w:p>
    <w:p w14:paraId="0F317C3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9,883.13</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val="en-US"/>
        </w:rPr>
        <w:t>9,513.10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96.26</w:t>
      </w:r>
      <w:r>
        <w:rPr>
          <w:rFonts w:hint="eastAsia" w:ascii="仿宋" w:hAnsi="仿宋" w:eastAsia="仿宋" w:cs="仿宋"/>
          <w:color w:val="auto"/>
          <w:sz w:val="32"/>
          <w:szCs w:val="32"/>
        </w:rPr>
        <w:t>%；上级补助收入</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万元；事业收入</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val="en-US"/>
        </w:rPr>
        <w:t>182.21</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1.84</w:t>
      </w:r>
      <w:r>
        <w:rPr>
          <w:rFonts w:hint="eastAsia" w:ascii="仿宋" w:hAnsi="仿宋" w:eastAsia="仿宋" w:cs="仿宋"/>
          <w:color w:val="auto"/>
          <w:sz w:val="32"/>
          <w:szCs w:val="32"/>
        </w:rPr>
        <w:t>%；经营收入</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万元；附属单位上缴收入</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万元；其他收入</w:t>
      </w:r>
      <w:r>
        <w:rPr>
          <w:rFonts w:hint="eastAsia" w:ascii="仿宋" w:hAnsi="仿宋" w:eastAsia="仿宋" w:cs="仿宋"/>
          <w:color w:val="auto"/>
          <w:sz w:val="32"/>
          <w:szCs w:val="32"/>
          <w:lang w:val="en-US"/>
        </w:rPr>
        <w:t>187.82</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1.9</w:t>
      </w:r>
      <w:r>
        <w:rPr>
          <w:rFonts w:hint="eastAsia" w:ascii="仿宋" w:hAnsi="仿宋" w:eastAsia="仿宋" w:cs="仿宋"/>
          <w:color w:val="auto"/>
          <w:sz w:val="32"/>
          <w:szCs w:val="32"/>
        </w:rPr>
        <w:t>%。</w:t>
      </w:r>
    </w:p>
    <w:p w14:paraId="3B02073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rPr>
        <w:t>（注：上述各项收入数可取自财决公开02表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5FF693E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三、支出决算情况说明</w:t>
      </w:r>
    </w:p>
    <w:p w14:paraId="294101D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9,866.24</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rPr>
        <w:t>7,479.18</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75.81</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rPr>
        <w:t>2,387.06</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24.19</w:t>
      </w:r>
      <w:r>
        <w:rPr>
          <w:rFonts w:hint="eastAsia" w:ascii="仿宋" w:hAnsi="仿宋" w:eastAsia="仿宋" w:cs="仿宋"/>
          <w:color w:val="auto"/>
          <w:sz w:val="32"/>
          <w:szCs w:val="32"/>
        </w:rPr>
        <w:t>%；上缴上级支出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万元；经营支出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万元；对附属单位补助支出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w:t>
      </w:r>
    </w:p>
    <w:p w14:paraId="38872C8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rPr>
        <w:t>（注：上述各项支出数可取自财决公开03表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6EA146F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四、财政拨款收入支出决算总体情况说明</w:t>
      </w:r>
    </w:p>
    <w:p w14:paraId="3CD7D43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年度财政拨款收入</w:t>
      </w:r>
      <w:r>
        <w:rPr>
          <w:rFonts w:hint="eastAsia" w:ascii="仿宋" w:hAnsi="仿宋" w:eastAsia="仿宋" w:cs="仿宋"/>
          <w:color w:val="auto"/>
          <w:sz w:val="32"/>
          <w:szCs w:val="32"/>
          <w:lang w:val="en-US"/>
        </w:rPr>
        <w:t>9,513.10</w:t>
      </w:r>
      <w:r>
        <w:rPr>
          <w:rFonts w:hint="eastAsia" w:ascii="仿宋" w:hAnsi="仿宋" w:eastAsia="仿宋" w:cs="仿宋"/>
          <w:color w:val="auto"/>
          <w:sz w:val="32"/>
          <w:szCs w:val="32"/>
        </w:rPr>
        <w:t>万元，支出</w:t>
      </w:r>
      <w:r>
        <w:rPr>
          <w:rFonts w:hint="eastAsia" w:ascii="仿宋" w:hAnsi="仿宋" w:eastAsia="仿宋" w:cs="仿宋"/>
          <w:color w:val="auto"/>
          <w:sz w:val="32"/>
          <w:szCs w:val="32"/>
          <w:lang w:val="en-US"/>
        </w:rPr>
        <w:t>9,530.67</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年度相比，财政拨款收入减少</w:t>
      </w:r>
      <w:r>
        <w:rPr>
          <w:rFonts w:hint="eastAsia" w:ascii="仿宋" w:hAnsi="仿宋" w:eastAsia="仿宋" w:cs="仿宋"/>
          <w:color w:val="auto"/>
          <w:sz w:val="32"/>
          <w:szCs w:val="32"/>
          <w:lang w:val="en-US" w:eastAsia="zh-CN"/>
        </w:rPr>
        <w:t>2,266.39</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19.24</w:t>
      </w:r>
      <w:r>
        <w:rPr>
          <w:rFonts w:hint="eastAsia" w:ascii="仿宋" w:hAnsi="仿宋" w:eastAsia="仿宋" w:cs="仿宋"/>
          <w:color w:val="auto"/>
          <w:sz w:val="32"/>
          <w:szCs w:val="32"/>
        </w:rPr>
        <w:t>%，主要原因：一是</w:t>
      </w:r>
      <w:r>
        <w:rPr>
          <w:rFonts w:hint="eastAsia" w:ascii="仿宋" w:hAnsi="仿宋" w:eastAsia="仿宋" w:cs="仿宋"/>
          <w:color w:val="auto"/>
          <w:sz w:val="32"/>
          <w:szCs w:val="32"/>
          <w:lang w:val="en-US" w:eastAsia="zh-CN"/>
        </w:rPr>
        <w:t>人员经费相对减少</w:t>
      </w:r>
      <w:r>
        <w:rPr>
          <w:rFonts w:hint="eastAsia" w:ascii="仿宋" w:hAnsi="仿宋" w:eastAsia="仿宋" w:cs="仿宋"/>
          <w:color w:val="auto"/>
          <w:sz w:val="32"/>
          <w:szCs w:val="32"/>
        </w:rPr>
        <w:t>；二是</w:t>
      </w:r>
      <w:r>
        <w:rPr>
          <w:rFonts w:hint="eastAsia" w:ascii="仿宋" w:hAnsi="仿宋" w:eastAsia="仿宋" w:cs="仿宋"/>
          <w:color w:val="auto"/>
          <w:sz w:val="32"/>
          <w:szCs w:val="32"/>
          <w:lang w:val="en-US" w:eastAsia="zh-CN"/>
        </w:rPr>
        <w:t>项目经费也相对减少了</w:t>
      </w:r>
      <w:r>
        <w:rPr>
          <w:rFonts w:hint="eastAsia" w:ascii="仿宋" w:hAnsi="仿宋" w:eastAsia="仿宋" w:cs="仿宋"/>
          <w:color w:val="auto"/>
          <w:sz w:val="32"/>
          <w:szCs w:val="32"/>
        </w:rPr>
        <w:t>。支出减少</w:t>
      </w:r>
      <w:r>
        <w:rPr>
          <w:rFonts w:hint="eastAsia" w:ascii="仿宋" w:hAnsi="仿宋" w:eastAsia="仿宋" w:cs="仿宋"/>
          <w:color w:val="auto"/>
          <w:sz w:val="32"/>
          <w:szCs w:val="32"/>
          <w:lang w:val="en-US" w:eastAsia="zh-CN"/>
        </w:rPr>
        <w:t>2,229.49</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18.96</w:t>
      </w:r>
      <w:r>
        <w:rPr>
          <w:rFonts w:hint="eastAsia" w:ascii="仿宋" w:hAnsi="仿宋" w:eastAsia="仿宋" w:cs="仿宋"/>
          <w:color w:val="auto"/>
          <w:sz w:val="32"/>
          <w:szCs w:val="32"/>
        </w:rPr>
        <w:t>%，主要原因：一是</w:t>
      </w:r>
      <w:r>
        <w:rPr>
          <w:rFonts w:hint="eastAsia" w:ascii="仿宋" w:hAnsi="仿宋" w:eastAsia="仿宋" w:cs="仿宋"/>
          <w:color w:val="auto"/>
          <w:sz w:val="32"/>
          <w:szCs w:val="32"/>
          <w:lang w:val="en-US" w:eastAsia="zh-CN"/>
        </w:rPr>
        <w:t>人员经费相对减少</w:t>
      </w:r>
      <w:r>
        <w:rPr>
          <w:rFonts w:hint="eastAsia" w:ascii="仿宋" w:hAnsi="仿宋" w:eastAsia="仿宋" w:cs="仿宋"/>
          <w:color w:val="auto"/>
          <w:sz w:val="32"/>
          <w:szCs w:val="32"/>
        </w:rPr>
        <w:t>；二是</w:t>
      </w:r>
      <w:r>
        <w:rPr>
          <w:rFonts w:hint="eastAsia" w:ascii="仿宋" w:hAnsi="仿宋" w:eastAsia="仿宋" w:cs="仿宋"/>
          <w:color w:val="auto"/>
          <w:sz w:val="32"/>
          <w:szCs w:val="32"/>
          <w:lang w:val="en-US" w:eastAsia="zh-CN"/>
        </w:rPr>
        <w:t>项目经费也相对减少了</w:t>
      </w:r>
      <w:r>
        <w:rPr>
          <w:rFonts w:hint="eastAsia" w:ascii="仿宋" w:hAnsi="仿宋" w:eastAsia="仿宋" w:cs="仿宋"/>
          <w:color w:val="auto"/>
          <w:sz w:val="32"/>
          <w:szCs w:val="32"/>
        </w:rPr>
        <w:t>。</w:t>
      </w:r>
    </w:p>
    <w:p w14:paraId="2F2814C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财政拨款年初结转结余</w:t>
      </w:r>
      <w:r>
        <w:rPr>
          <w:rFonts w:hint="eastAsia" w:ascii="仿宋" w:hAnsi="仿宋" w:eastAsia="仿宋" w:cs="仿宋"/>
          <w:color w:val="auto"/>
          <w:sz w:val="32"/>
          <w:szCs w:val="32"/>
          <w:lang w:val="en-US"/>
        </w:rPr>
        <w:t>17.57</w:t>
      </w:r>
      <w:r>
        <w:rPr>
          <w:rFonts w:hint="eastAsia" w:ascii="仿宋" w:hAnsi="仿宋" w:eastAsia="仿宋" w:cs="仿宋"/>
          <w:color w:val="auto"/>
          <w:sz w:val="32"/>
          <w:szCs w:val="32"/>
        </w:rPr>
        <w:t>万元，主要是</w:t>
      </w:r>
      <w:r>
        <w:rPr>
          <w:rFonts w:hint="eastAsia" w:ascii="仿宋" w:hAnsi="仿宋" w:eastAsia="仿宋" w:cs="仿宋"/>
          <w:color w:val="auto"/>
          <w:sz w:val="32"/>
          <w:szCs w:val="32"/>
          <w:lang w:val="en-US" w:eastAsia="zh-CN"/>
        </w:rPr>
        <w:t>结转项目经费</w:t>
      </w:r>
      <w:r>
        <w:rPr>
          <w:rFonts w:hint="eastAsia" w:ascii="仿宋" w:hAnsi="仿宋" w:eastAsia="仿宋" w:cs="仿宋"/>
          <w:color w:val="auto"/>
          <w:sz w:val="32"/>
          <w:szCs w:val="32"/>
        </w:rPr>
        <w:t>，较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年度决算数增加</w:t>
      </w:r>
      <w:r>
        <w:rPr>
          <w:rFonts w:hint="eastAsia" w:ascii="仿宋" w:hAnsi="仿宋" w:eastAsia="仿宋" w:cs="仿宋"/>
          <w:color w:val="auto"/>
          <w:sz w:val="32"/>
          <w:szCs w:val="32"/>
          <w:lang w:val="en-US" w:eastAsia="zh-CN"/>
        </w:rPr>
        <w:t>17.57</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_GB2312" w:hAnsi="ˎ̥" w:eastAsia="仿宋_GB2312"/>
          <w:color w:val="auto"/>
          <w:sz w:val="32"/>
          <w:szCs w:val="32"/>
        </w:rPr>
        <w:t>主要原因是</w:t>
      </w:r>
      <w:r>
        <w:rPr>
          <w:rFonts w:hint="eastAsia" w:ascii="仿宋_GB2312" w:hAnsi="ˎ̥" w:eastAsia="仿宋_GB2312"/>
          <w:color w:val="auto"/>
          <w:sz w:val="32"/>
          <w:szCs w:val="32"/>
          <w:lang w:val="en-US" w:eastAsia="zh-CN"/>
        </w:rPr>
        <w:t>专项资金增加</w:t>
      </w:r>
      <w:r>
        <w:rPr>
          <w:rFonts w:hint="eastAsia" w:ascii="仿宋" w:hAnsi="仿宋" w:eastAsia="仿宋" w:cs="仿宋"/>
          <w:color w:val="auto"/>
          <w:sz w:val="32"/>
          <w:szCs w:val="32"/>
        </w:rPr>
        <w:t>。</w:t>
      </w:r>
    </w:p>
    <w:p w14:paraId="604B142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财政拨款年末结转结余</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年度决算数增加</w:t>
      </w:r>
      <w:r>
        <w:rPr>
          <w:rFonts w:hint="eastAsia" w:ascii="仿宋" w:hAnsi="仿宋" w:eastAsia="仿宋" w:cs="仿宋"/>
          <w:color w:val="auto"/>
          <w:sz w:val="32"/>
          <w:szCs w:val="32"/>
          <w:lang w:val="en-US" w:eastAsia="zh-CN"/>
        </w:rPr>
        <w:t>19.32</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%，主要原因是</w:t>
      </w:r>
      <w:r>
        <w:rPr>
          <w:rFonts w:hint="eastAsia" w:ascii="仿宋_GB2312" w:hAnsi="ˎ̥" w:eastAsia="仿宋_GB2312"/>
          <w:color w:val="auto"/>
          <w:sz w:val="32"/>
          <w:szCs w:val="32"/>
        </w:rPr>
        <w:t>是</w:t>
      </w:r>
      <w:r>
        <w:rPr>
          <w:rFonts w:hint="eastAsia" w:ascii="仿宋_GB2312" w:hAnsi="ˎ̥" w:eastAsia="仿宋_GB2312"/>
          <w:color w:val="auto"/>
          <w:sz w:val="32"/>
          <w:szCs w:val="32"/>
          <w:lang w:val="en-US" w:eastAsia="zh-CN"/>
        </w:rPr>
        <w:t>专项资金增加</w:t>
      </w:r>
      <w:r>
        <w:rPr>
          <w:rFonts w:hint="eastAsia" w:ascii="仿宋" w:hAnsi="仿宋" w:eastAsia="仿宋" w:cs="仿宋"/>
          <w:color w:val="auto"/>
          <w:sz w:val="32"/>
          <w:szCs w:val="32"/>
        </w:rPr>
        <w:t>。</w:t>
      </w:r>
    </w:p>
    <w:p w14:paraId="49F4BEF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rPr>
        <w:t>（注：</w:t>
      </w: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年度决算相关数据可取自财决公开04表。</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年度决算相关数据可取自</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年度部门决算报表财决01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1表《财政拨款收入支出决算总表》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7BE8C2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五、一般公共预算财政拨款支出决算情况说明</w:t>
      </w:r>
    </w:p>
    <w:p w14:paraId="5561639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72" w:name="_Toc13694_WPSOffice_Level2"/>
      <w:bookmarkStart w:id="73" w:name="_Toc21737_WPSOffice_Level2"/>
      <w:bookmarkStart w:id="74" w:name="_Toc9989_WPSOffice_Level2"/>
      <w:bookmarkStart w:id="75" w:name="_Toc17398_WPSOffice_Level2"/>
      <w:bookmarkStart w:id="76" w:name="_Toc19665_WPSOffice_Level2"/>
      <w:bookmarkStart w:id="77" w:name="_Toc23005_WPSOffice_Level2"/>
      <w:r>
        <w:rPr>
          <w:rFonts w:hint="eastAsia" w:ascii="楷体" w:hAnsi="楷体" w:eastAsia="楷体" w:cs="楷体"/>
          <w:color w:val="auto"/>
          <w:sz w:val="32"/>
          <w:szCs w:val="32"/>
        </w:rPr>
        <w:t>（一）一般公共预算财政拨款支出决算总体情况</w:t>
      </w:r>
      <w:bookmarkEnd w:id="72"/>
      <w:bookmarkEnd w:id="73"/>
      <w:bookmarkEnd w:id="74"/>
      <w:bookmarkEnd w:id="75"/>
      <w:bookmarkEnd w:id="76"/>
      <w:bookmarkEnd w:id="77"/>
    </w:p>
    <w:p w14:paraId="0B0CF27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9,525.03</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96.54</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年度相比，一般公共预算财政拨款支出减少</w:t>
      </w:r>
      <w:r>
        <w:rPr>
          <w:rFonts w:hint="eastAsia" w:ascii="仿宋" w:hAnsi="仿宋" w:eastAsia="仿宋" w:cs="仿宋"/>
          <w:color w:val="auto"/>
          <w:sz w:val="32"/>
          <w:szCs w:val="32"/>
          <w:lang w:val="en-US" w:eastAsia="zh-CN"/>
        </w:rPr>
        <w:t>2,050.77</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17.72</w:t>
      </w:r>
      <w:r>
        <w:rPr>
          <w:rFonts w:hint="eastAsia" w:ascii="仿宋" w:hAnsi="仿宋" w:eastAsia="仿宋" w:cs="仿宋"/>
          <w:color w:val="auto"/>
          <w:sz w:val="32"/>
          <w:szCs w:val="32"/>
        </w:rPr>
        <w:t>%，主要原因是一是</w:t>
      </w:r>
      <w:r>
        <w:rPr>
          <w:rFonts w:hint="eastAsia" w:ascii="仿宋" w:hAnsi="仿宋" w:eastAsia="仿宋" w:cs="仿宋"/>
          <w:color w:val="auto"/>
          <w:sz w:val="32"/>
          <w:szCs w:val="32"/>
          <w:lang w:val="en-US" w:eastAsia="zh-CN"/>
        </w:rPr>
        <w:t>人员经费相对减少</w:t>
      </w:r>
      <w:r>
        <w:rPr>
          <w:rFonts w:hint="eastAsia" w:ascii="仿宋" w:hAnsi="仿宋" w:eastAsia="仿宋" w:cs="仿宋"/>
          <w:color w:val="auto"/>
          <w:sz w:val="32"/>
          <w:szCs w:val="32"/>
        </w:rPr>
        <w:t>；二是</w:t>
      </w:r>
      <w:r>
        <w:rPr>
          <w:rFonts w:hint="eastAsia" w:ascii="仿宋" w:hAnsi="仿宋" w:eastAsia="仿宋" w:cs="仿宋"/>
          <w:color w:val="auto"/>
          <w:sz w:val="32"/>
          <w:szCs w:val="32"/>
          <w:lang w:val="en-US" w:eastAsia="zh-CN"/>
        </w:rPr>
        <w:t>项目经费也相对减少了</w:t>
      </w:r>
      <w:r>
        <w:rPr>
          <w:rFonts w:hint="eastAsia" w:ascii="仿宋" w:hAnsi="仿宋" w:eastAsia="仿宋" w:cs="仿宋"/>
          <w:color w:val="auto"/>
          <w:sz w:val="32"/>
          <w:szCs w:val="32"/>
        </w:rPr>
        <w:t>。</w:t>
      </w:r>
    </w:p>
    <w:p w14:paraId="02CF4A3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78" w:name="_Toc27767_WPSOffice_Level2"/>
      <w:bookmarkStart w:id="79" w:name="_Toc2711_WPSOffice_Level2"/>
      <w:bookmarkStart w:id="80" w:name="_Toc23864_WPSOffice_Level2"/>
      <w:bookmarkStart w:id="81" w:name="_Toc19075_WPSOffice_Level2"/>
      <w:bookmarkStart w:id="82" w:name="_Toc18793_WPSOffice_Level2"/>
      <w:bookmarkStart w:id="83" w:name="_Toc19535_WPSOffice_Level2"/>
      <w:r>
        <w:rPr>
          <w:rFonts w:hint="eastAsia" w:ascii="楷体" w:hAnsi="楷体" w:eastAsia="楷体" w:cs="楷体"/>
          <w:color w:val="auto"/>
          <w:sz w:val="32"/>
          <w:szCs w:val="32"/>
        </w:rPr>
        <w:t>（二）一般公共预算财政拨款支出决算结构情况</w:t>
      </w:r>
      <w:bookmarkEnd w:id="78"/>
      <w:bookmarkEnd w:id="79"/>
      <w:bookmarkEnd w:id="80"/>
      <w:bookmarkEnd w:id="81"/>
      <w:bookmarkEnd w:id="82"/>
      <w:bookmarkEnd w:id="83"/>
    </w:p>
    <w:p w14:paraId="1BE4645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9,525.03</w:t>
      </w:r>
      <w:r>
        <w:rPr>
          <w:rFonts w:hint="eastAsia" w:ascii="仿宋" w:hAnsi="仿宋" w:eastAsia="仿宋" w:cs="仿宋"/>
          <w:color w:val="auto"/>
          <w:sz w:val="32"/>
          <w:szCs w:val="32"/>
        </w:rPr>
        <w:t>万元，主要用于以下方面：</w:t>
      </w:r>
      <w:r>
        <w:rPr>
          <w:rFonts w:hint="eastAsia" w:ascii="仿宋_GB2312" w:hAnsi="ˎ̥" w:eastAsia="仿宋_GB2312"/>
          <w:b/>
          <w:color w:val="auto"/>
          <w:sz w:val="32"/>
          <w:szCs w:val="32"/>
        </w:rPr>
        <w:t>一般公共服务（类）</w:t>
      </w:r>
      <w:r>
        <w:rPr>
          <w:rFonts w:hint="eastAsia" w:ascii="仿宋_GB2312" w:hAnsi="ˎ̥" w:eastAsia="仿宋_GB2312"/>
          <w:color w:val="auto"/>
          <w:sz w:val="32"/>
          <w:szCs w:val="32"/>
        </w:rPr>
        <w:t>支出</w:t>
      </w:r>
      <w:r>
        <w:rPr>
          <w:rFonts w:hint="default" w:ascii="仿宋_GB2312" w:hAnsi="ˎ̥" w:eastAsia="仿宋_GB2312"/>
          <w:color w:val="auto"/>
          <w:sz w:val="32"/>
          <w:szCs w:val="32"/>
          <w:lang w:val="en-US"/>
        </w:rPr>
        <w:t>7</w:t>
      </w:r>
      <w:r>
        <w:rPr>
          <w:rFonts w:hint="eastAsia" w:ascii="仿宋_GB2312" w:hAnsi="ˎ̥" w:eastAsia="仿宋_GB2312"/>
          <w:color w:val="auto"/>
          <w:sz w:val="32"/>
          <w:szCs w:val="32"/>
          <w:lang w:val="en-US" w:eastAsia="zh-CN"/>
        </w:rPr>
        <w:t>,</w:t>
      </w:r>
      <w:r>
        <w:rPr>
          <w:rFonts w:hint="default" w:ascii="仿宋_GB2312" w:hAnsi="ˎ̥" w:eastAsia="仿宋_GB2312"/>
          <w:color w:val="auto"/>
          <w:sz w:val="32"/>
          <w:szCs w:val="32"/>
          <w:lang w:val="en-US"/>
        </w:rPr>
        <w:t>729.43</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81.15</w:t>
      </w:r>
      <w:r>
        <w:rPr>
          <w:rFonts w:hint="eastAsia" w:ascii="仿宋_GB2312" w:hAnsi="ˎ̥" w:eastAsia="仿宋_GB2312"/>
          <w:color w:val="auto"/>
          <w:sz w:val="32"/>
          <w:szCs w:val="32"/>
        </w:rPr>
        <w:t>%；</w:t>
      </w:r>
      <w:r>
        <w:rPr>
          <w:rFonts w:hint="eastAsia" w:ascii="仿宋_GB2312" w:hAnsi="ˎ̥" w:eastAsia="仿宋_GB2312"/>
          <w:b/>
          <w:color w:val="auto"/>
          <w:sz w:val="32"/>
          <w:szCs w:val="32"/>
        </w:rPr>
        <w:t>社会保障和就业（类）</w:t>
      </w:r>
      <w:r>
        <w:rPr>
          <w:rFonts w:hint="eastAsia" w:ascii="仿宋_GB2312" w:hAnsi="ˎ̥" w:eastAsia="仿宋_GB2312"/>
          <w:color w:val="auto"/>
          <w:sz w:val="32"/>
          <w:szCs w:val="32"/>
        </w:rPr>
        <w:t>支出</w:t>
      </w:r>
      <w:r>
        <w:rPr>
          <w:rFonts w:hint="default" w:ascii="仿宋_GB2312" w:hAnsi="ˎ̥" w:eastAsia="仿宋_GB2312"/>
          <w:color w:val="auto"/>
          <w:sz w:val="32"/>
          <w:szCs w:val="32"/>
          <w:lang w:val="en-US"/>
        </w:rPr>
        <w:t>1</w:t>
      </w:r>
      <w:r>
        <w:rPr>
          <w:rFonts w:hint="eastAsia" w:ascii="仿宋_GB2312" w:hAnsi="ˎ̥" w:eastAsia="仿宋_GB2312"/>
          <w:color w:val="auto"/>
          <w:sz w:val="32"/>
          <w:szCs w:val="32"/>
          <w:lang w:val="en-US" w:eastAsia="zh-CN"/>
        </w:rPr>
        <w:t>,</w:t>
      </w:r>
      <w:r>
        <w:rPr>
          <w:rFonts w:hint="default" w:ascii="仿宋_GB2312" w:hAnsi="ˎ̥" w:eastAsia="仿宋_GB2312"/>
          <w:color w:val="auto"/>
          <w:sz w:val="32"/>
          <w:szCs w:val="32"/>
          <w:lang w:val="en-US"/>
        </w:rPr>
        <w:t>010.61</w:t>
      </w:r>
      <w:r>
        <w:rPr>
          <w:rFonts w:hint="eastAsia" w:ascii="仿宋_GB2312" w:hAnsi="ˎ̥" w:eastAsia="仿宋_GB2312"/>
          <w:color w:val="auto"/>
          <w:sz w:val="32"/>
          <w:szCs w:val="32"/>
        </w:rPr>
        <w:t>万元，</w:t>
      </w:r>
      <w:r>
        <w:rPr>
          <w:rFonts w:hint="eastAsia" w:ascii="仿宋_GB2312" w:hAnsi="ˎ̥" w:eastAsia="仿宋_GB2312"/>
          <w:color w:val="auto"/>
          <w:sz w:val="32"/>
          <w:szCs w:val="32"/>
          <w:lang w:val="en-US" w:eastAsia="zh-CN"/>
        </w:rPr>
        <w:t>占10.61%；</w:t>
      </w:r>
      <w:r>
        <w:rPr>
          <w:rFonts w:hint="eastAsia" w:ascii="仿宋" w:hAnsi="仿宋" w:eastAsia="仿宋" w:cs="仿宋"/>
          <w:b/>
          <w:bCs/>
          <w:color w:val="auto"/>
          <w:sz w:val="32"/>
          <w:szCs w:val="32"/>
          <w:lang w:val="en-US" w:eastAsia="zh-CN"/>
        </w:rPr>
        <w:t>抚恤</w:t>
      </w:r>
      <w:r>
        <w:rPr>
          <w:rFonts w:hint="eastAsia" w:ascii="仿宋_GB2312" w:hAnsi="ˎ̥" w:eastAsia="仿宋_GB2312"/>
          <w:b/>
          <w:bCs/>
          <w:color w:val="auto"/>
          <w:sz w:val="32"/>
          <w:szCs w:val="32"/>
          <w:lang w:val="en-US" w:eastAsia="zh-CN"/>
        </w:rPr>
        <w:t>(类)</w:t>
      </w:r>
      <w:r>
        <w:rPr>
          <w:rFonts w:hint="eastAsia" w:ascii="仿宋_GB2312" w:hAnsi="ˎ̥" w:eastAsia="仿宋_GB2312"/>
          <w:b w:val="0"/>
          <w:bCs w:val="0"/>
          <w:color w:val="auto"/>
          <w:sz w:val="32"/>
          <w:szCs w:val="32"/>
          <w:lang w:val="en-US" w:eastAsia="zh-CN"/>
        </w:rPr>
        <w:t>支出</w:t>
      </w:r>
      <w:r>
        <w:rPr>
          <w:rFonts w:hint="eastAsia" w:ascii="仿宋_GB2312" w:hAnsi="ˎ̥" w:eastAsia="仿宋_GB2312"/>
          <w:color w:val="auto"/>
          <w:sz w:val="32"/>
          <w:szCs w:val="32"/>
          <w:lang w:val="en-US" w:eastAsia="zh-CN"/>
        </w:rPr>
        <w:t>2.53万元，占0.02%；</w:t>
      </w:r>
      <w:r>
        <w:rPr>
          <w:rFonts w:hint="eastAsia" w:ascii="仿宋_GB2312" w:hAnsi="ˎ̥" w:eastAsia="仿宋_GB2312"/>
          <w:b/>
          <w:bCs/>
          <w:color w:val="auto"/>
          <w:sz w:val="32"/>
          <w:szCs w:val="32"/>
        </w:rPr>
        <w:t>卫生健康</w:t>
      </w:r>
      <w:r>
        <w:rPr>
          <w:rFonts w:hint="eastAsia" w:ascii="仿宋_GB2312" w:hAnsi="ˎ̥" w:eastAsia="仿宋_GB2312"/>
          <w:b/>
          <w:bCs/>
          <w:color w:val="auto"/>
          <w:sz w:val="32"/>
          <w:szCs w:val="32"/>
          <w:lang w:val="en-US" w:eastAsia="zh-CN"/>
        </w:rPr>
        <w:t>(类)</w:t>
      </w:r>
      <w:r>
        <w:rPr>
          <w:rFonts w:hint="eastAsia" w:ascii="仿宋_GB2312" w:hAnsi="ˎ̥" w:eastAsia="仿宋_GB2312"/>
          <w:b/>
          <w:bCs/>
          <w:color w:val="auto"/>
          <w:sz w:val="32"/>
          <w:szCs w:val="32"/>
        </w:rPr>
        <w:t>支出</w:t>
      </w:r>
      <w:r>
        <w:rPr>
          <w:rFonts w:hint="eastAsia" w:ascii="仿宋_GB2312" w:hAnsi="ˎ̥" w:eastAsia="仿宋_GB2312"/>
          <w:color w:val="auto"/>
          <w:sz w:val="32"/>
          <w:szCs w:val="32"/>
        </w:rPr>
        <w:t>238.86万元，占2.</w:t>
      </w:r>
      <w:r>
        <w:rPr>
          <w:rFonts w:hint="eastAsia" w:ascii="仿宋_GB2312" w:hAnsi="ˎ̥" w:eastAsia="仿宋_GB2312"/>
          <w:color w:val="auto"/>
          <w:sz w:val="32"/>
          <w:szCs w:val="32"/>
          <w:lang w:val="en-US" w:eastAsia="zh-CN"/>
        </w:rPr>
        <w:t>51</w:t>
      </w:r>
      <w:r>
        <w:rPr>
          <w:rFonts w:hint="eastAsia" w:ascii="仿宋_GB2312" w:hAnsi="ˎ̥" w:eastAsia="仿宋_GB2312"/>
          <w:color w:val="auto"/>
          <w:sz w:val="32"/>
          <w:szCs w:val="32"/>
        </w:rPr>
        <w:t>%；</w:t>
      </w:r>
      <w:r>
        <w:rPr>
          <w:rFonts w:ascii="仿宋_GB2312" w:hAnsi="ˎ̥" w:eastAsia="仿宋_GB2312" w:cs="仿宋_GB2312"/>
          <w:b/>
          <w:color w:val="auto"/>
          <w:sz w:val="32"/>
          <w:szCs w:val="32"/>
          <w:shd w:val="clear" w:color="auto" w:fill="FFFFFF"/>
        </w:rPr>
        <w:t>住房保障（类）</w:t>
      </w:r>
      <w:r>
        <w:rPr>
          <w:rFonts w:ascii="仿宋_GB2312" w:hAnsi="ˎ̥" w:eastAsia="仿宋_GB2312" w:cs="仿宋_GB2312"/>
          <w:color w:val="auto"/>
          <w:sz w:val="32"/>
          <w:szCs w:val="32"/>
          <w:shd w:val="clear" w:color="auto" w:fill="FFFFFF"/>
        </w:rPr>
        <w:t>支出</w:t>
      </w:r>
      <w:r>
        <w:rPr>
          <w:rFonts w:hint="eastAsia" w:ascii="仿宋_GB2312" w:hAnsi="ˎ̥" w:eastAsia="仿宋_GB2312" w:cs="仿宋_GB2312"/>
          <w:color w:val="auto"/>
          <w:sz w:val="32"/>
          <w:szCs w:val="32"/>
          <w:shd w:val="clear" w:color="auto" w:fill="FFFFFF"/>
        </w:rPr>
        <w:t>546.14</w:t>
      </w:r>
      <w:r>
        <w:rPr>
          <w:rFonts w:ascii="仿宋_GB2312" w:hAnsi="ˎ̥" w:eastAsia="仿宋_GB2312" w:cs="仿宋_GB2312"/>
          <w:color w:val="auto"/>
          <w:sz w:val="32"/>
          <w:szCs w:val="32"/>
          <w:shd w:val="clear" w:color="auto" w:fill="FFFFFF"/>
        </w:rPr>
        <w:t>万元，占</w:t>
      </w:r>
      <w:r>
        <w:rPr>
          <w:rFonts w:hint="eastAsia" w:ascii="仿宋_GB2312" w:hAnsi="ˎ̥" w:eastAsia="仿宋_GB2312" w:cs="仿宋_GB2312"/>
          <w:color w:val="auto"/>
          <w:sz w:val="32"/>
          <w:szCs w:val="32"/>
          <w:shd w:val="clear" w:color="auto" w:fill="FFFFFF"/>
          <w:lang w:val="en-US" w:eastAsia="zh-CN"/>
        </w:rPr>
        <w:t>5.73</w:t>
      </w:r>
      <w:r>
        <w:rPr>
          <w:rFonts w:ascii="仿宋_GB2312" w:hAnsi="ˎ̥" w:eastAsia="仿宋_GB2312" w:cs="仿宋_GB2312"/>
          <w:color w:val="auto"/>
          <w:sz w:val="32"/>
          <w:szCs w:val="32"/>
          <w:shd w:val="clear" w:color="auto" w:fill="FFFFFF"/>
        </w:rPr>
        <w:t>%</w:t>
      </w:r>
      <w:r>
        <w:rPr>
          <w:rFonts w:hint="eastAsia" w:ascii="仿宋_GB2312" w:hAnsi="ˎ̥" w:eastAsia="仿宋_GB2312"/>
          <w:color w:val="auto"/>
          <w:sz w:val="32"/>
          <w:szCs w:val="32"/>
        </w:rPr>
        <w:t>。</w:t>
      </w:r>
    </w:p>
    <w:p w14:paraId="51B5561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4" w:name="_Toc21701_WPSOffice_Level2"/>
      <w:bookmarkStart w:id="85" w:name="_Toc25136_WPSOffice_Level2"/>
      <w:bookmarkStart w:id="86" w:name="_Toc29364_WPSOffice_Level2"/>
      <w:bookmarkStart w:id="87" w:name="_Toc15415_WPSOffice_Level2"/>
      <w:bookmarkStart w:id="88" w:name="_Toc9502_WPSOffice_Level2"/>
      <w:bookmarkStart w:id="89" w:name="_Toc22318_WPSOffice_Level2"/>
      <w:r>
        <w:rPr>
          <w:rFonts w:hint="eastAsia" w:ascii="楷体" w:hAnsi="楷体" w:eastAsia="楷体" w:cs="楷体"/>
          <w:color w:val="auto"/>
          <w:sz w:val="32"/>
          <w:szCs w:val="32"/>
        </w:rPr>
        <w:t>（三）一般公共预算财政拨款支出决算具体情况</w:t>
      </w:r>
      <w:bookmarkEnd w:id="84"/>
      <w:bookmarkEnd w:id="85"/>
      <w:bookmarkEnd w:id="86"/>
      <w:bookmarkEnd w:id="87"/>
      <w:bookmarkEnd w:id="88"/>
      <w:bookmarkEnd w:id="89"/>
    </w:p>
    <w:p w14:paraId="04217A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年度一般公共预算财政拨款支出年初预算为</w:t>
      </w:r>
      <w:r>
        <w:rPr>
          <w:rFonts w:hint="default" w:ascii="仿宋_GB2312" w:hAnsi="ˎ̥" w:eastAsia="仿宋_GB2312"/>
          <w:color w:val="auto"/>
          <w:sz w:val="32"/>
          <w:szCs w:val="32"/>
          <w:lang w:val="en-US"/>
        </w:rPr>
        <w:t>10,450.04</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9,525.03</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91.14</w:t>
      </w:r>
      <w:r>
        <w:rPr>
          <w:rFonts w:hint="eastAsia" w:ascii="仿宋" w:hAnsi="仿宋" w:eastAsia="仿宋" w:cs="仿宋"/>
          <w:color w:val="auto"/>
          <w:sz w:val="32"/>
          <w:szCs w:val="32"/>
        </w:rPr>
        <w:t>%。其中：</w:t>
      </w:r>
    </w:p>
    <w:p w14:paraId="52236A8A">
      <w:pPr>
        <w:keepNext w:val="0"/>
        <w:keepLines w:val="0"/>
        <w:pageBreakBefore w:val="0"/>
        <w:widowControl/>
        <w:kinsoku/>
        <w:wordWrap/>
        <w:overflowPunct/>
        <w:topLinePunct w:val="0"/>
        <w:autoSpaceDE/>
        <w:bidi w:val="0"/>
        <w:adjustRightInd/>
        <w:snapToGrid/>
        <w:spacing w:line="578" w:lineRule="exact"/>
        <w:ind w:firstLine="640" w:firstLineChars="200"/>
        <w:rPr>
          <w:rFonts w:hint="eastAsia" w:ascii="仿宋_GB2312" w:hAnsi="ˎ̥" w:eastAsia="仿宋_GB2312"/>
          <w:b/>
          <w:color w:val="auto"/>
          <w:sz w:val="32"/>
          <w:szCs w:val="32"/>
        </w:rPr>
      </w:pPr>
      <w:r>
        <w:rPr>
          <w:rFonts w:hint="eastAsia" w:ascii="仿宋_GB2312" w:hAnsi="ˎ̥" w:eastAsia="仿宋_GB2312"/>
          <w:color w:val="auto"/>
          <w:sz w:val="32"/>
          <w:szCs w:val="32"/>
        </w:rPr>
        <w:t>1.</w:t>
      </w:r>
      <w:r>
        <w:rPr>
          <w:rFonts w:hint="eastAsia" w:ascii="仿宋_GB2312" w:hAnsi="ˎ̥" w:eastAsia="仿宋_GB2312"/>
          <w:b/>
          <w:color w:val="auto"/>
          <w:sz w:val="32"/>
          <w:szCs w:val="32"/>
        </w:rPr>
        <w:t>一般公共服务（类）人大事务（款）行政运行（项）。</w:t>
      </w:r>
    </w:p>
    <w:p w14:paraId="5598A8B9">
      <w:pPr>
        <w:keepNext w:val="0"/>
        <w:keepLines w:val="0"/>
        <w:pageBreakBefore w:val="0"/>
        <w:widowControl/>
        <w:kinsoku/>
        <w:wordWrap/>
        <w:overflowPunct/>
        <w:topLinePunct w:val="0"/>
        <w:autoSpaceDE/>
        <w:bidi w:val="0"/>
        <w:adjustRightInd/>
        <w:snapToGrid/>
        <w:spacing w:after="100" w:afterAutospacing="1"/>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w:t>
      </w:r>
    </w:p>
    <w:p w14:paraId="61A89478">
      <w:pPr>
        <w:keepNext w:val="0"/>
        <w:keepLines w:val="0"/>
        <w:pageBreakBefore w:val="0"/>
        <w:widowControl/>
        <w:kinsoku/>
        <w:wordWrap/>
        <w:overflowPunct/>
        <w:topLinePunct w:val="0"/>
        <w:autoSpaceDE/>
        <w:bidi w:val="0"/>
        <w:adjustRightInd/>
        <w:snapToGrid/>
        <w:spacing w:line="578" w:lineRule="exact"/>
        <w:ind w:firstLine="643" w:firstLineChars="200"/>
        <w:rPr>
          <w:rFonts w:hint="eastAsia" w:ascii="仿宋" w:hAnsi="仿宋" w:eastAsia="仿宋" w:cs="仿宋"/>
          <w:color w:val="auto"/>
          <w:sz w:val="32"/>
          <w:szCs w:val="32"/>
          <w:lang w:val="en-US"/>
        </w:rPr>
      </w:pPr>
      <w:r>
        <w:rPr>
          <w:rFonts w:hint="eastAsia" w:ascii="仿宋_GB2312" w:hAnsi="ˎ̥" w:eastAsia="仿宋_GB2312"/>
          <w:b/>
          <w:bCs/>
          <w:color w:val="auto"/>
          <w:sz w:val="32"/>
          <w:szCs w:val="32"/>
          <w:lang w:val="en-US" w:eastAsia="zh-CN"/>
        </w:rPr>
        <w:t>2.</w:t>
      </w:r>
      <w:r>
        <w:rPr>
          <w:rFonts w:hint="eastAsia" w:ascii="仿宋_GB2312" w:hAnsi="ˎ̥" w:eastAsia="仿宋_GB2312" w:cs="Times New Roman"/>
          <w:b/>
          <w:bCs/>
          <w:color w:val="auto"/>
          <w:sz w:val="32"/>
          <w:szCs w:val="32"/>
        </w:rPr>
        <w:t>教育支出（类）</w:t>
      </w:r>
      <w:r>
        <w:rPr>
          <w:rFonts w:hint="eastAsia" w:ascii="仿宋_GB2312" w:hAnsi="ˎ̥" w:eastAsia="仿宋_GB2312" w:cs="Times New Roman"/>
          <w:b/>
          <w:bCs/>
          <w:color w:val="auto"/>
          <w:sz w:val="32"/>
          <w:szCs w:val="32"/>
          <w:lang w:val="en-US" w:eastAsia="zh-CN"/>
        </w:rPr>
        <w:t>普通教育</w:t>
      </w:r>
      <w:r>
        <w:rPr>
          <w:rFonts w:hint="eastAsia" w:ascii="仿宋_GB2312" w:hAnsi="ˎ̥" w:eastAsia="仿宋_GB2312" w:cs="Times New Roman"/>
          <w:b/>
          <w:bCs/>
          <w:color w:val="auto"/>
          <w:sz w:val="32"/>
          <w:szCs w:val="32"/>
        </w:rPr>
        <w:t>（款）</w:t>
      </w:r>
      <w:r>
        <w:rPr>
          <w:rFonts w:hint="eastAsia" w:ascii="仿宋_GB2312" w:hAnsi="ˎ̥" w:eastAsia="仿宋_GB2312" w:cs="Times New Roman"/>
          <w:b/>
          <w:bCs/>
          <w:color w:val="auto"/>
          <w:sz w:val="32"/>
          <w:szCs w:val="32"/>
          <w:lang w:val="en-US" w:eastAsia="zh-CN"/>
        </w:rPr>
        <w:t>初中教育</w:t>
      </w:r>
      <w:r>
        <w:rPr>
          <w:rFonts w:hint="eastAsia" w:ascii="仿宋_GB2312" w:hAnsi="ˎ̥" w:eastAsia="仿宋_GB2312" w:cs="Times New Roman"/>
          <w:b/>
          <w:bCs/>
          <w:color w:val="auto"/>
          <w:sz w:val="32"/>
          <w:szCs w:val="32"/>
        </w:rPr>
        <w:t>（项）</w:t>
      </w:r>
      <w:r>
        <w:rPr>
          <w:rFonts w:hint="eastAsia" w:ascii="仿宋_GB2312" w:hAnsi="ˎ̥" w:eastAsia="仿宋_GB2312" w:cs="Times New Roman"/>
          <w:b/>
          <w:bCs/>
          <w:color w:val="auto"/>
          <w:sz w:val="32"/>
          <w:szCs w:val="32"/>
          <w:lang w:eastAsia="zh-CN"/>
        </w:rPr>
        <w:t>。</w:t>
      </w:r>
      <w:r>
        <w:rPr>
          <w:rFonts w:hint="eastAsia" w:ascii="宋体" w:hAnsi="宋体" w:eastAsia="宋体" w:cs="宋体"/>
          <w:b w:val="0"/>
          <w:bCs/>
          <w:color w:val="auto"/>
          <w:sz w:val="32"/>
          <w:szCs w:val="32"/>
          <w:lang w:val="en-US" w:eastAsia="zh-CN"/>
        </w:rPr>
        <w:t>年初预算为411.38</w:t>
      </w:r>
      <w:r>
        <w:rPr>
          <w:rFonts w:hint="eastAsia" w:ascii="宋体" w:hAnsi="宋体" w:eastAsia="宋体" w:cs="宋体"/>
          <w:b w:val="0"/>
          <w:bCs/>
          <w:color w:val="auto"/>
          <w:sz w:val="32"/>
          <w:szCs w:val="32"/>
          <w:lang w:eastAsia="zh-CN"/>
        </w:rPr>
        <w:t>万元，支出决算为</w:t>
      </w:r>
      <w:r>
        <w:rPr>
          <w:rFonts w:hint="eastAsia" w:ascii="宋体" w:hAnsi="宋体" w:eastAsia="宋体" w:cs="宋体"/>
          <w:b w:val="0"/>
          <w:bCs/>
          <w:color w:val="auto"/>
          <w:sz w:val="32"/>
          <w:szCs w:val="32"/>
          <w:lang w:val="en-US" w:eastAsia="zh-CN"/>
        </w:rPr>
        <w:t>221.65</w:t>
      </w:r>
      <w:r>
        <w:rPr>
          <w:rFonts w:hint="eastAsia" w:ascii="宋体" w:hAnsi="宋体" w:eastAsia="宋体" w:cs="宋体"/>
          <w:b w:val="0"/>
          <w:bCs/>
          <w:color w:val="auto"/>
          <w:sz w:val="32"/>
          <w:szCs w:val="32"/>
          <w:lang w:eastAsia="zh-CN"/>
        </w:rPr>
        <w:t>万元，完成年初预算的</w:t>
      </w:r>
      <w:r>
        <w:rPr>
          <w:rFonts w:hint="eastAsia" w:ascii="宋体" w:hAnsi="宋体" w:cs="宋体"/>
          <w:b w:val="0"/>
          <w:bCs/>
          <w:color w:val="auto"/>
          <w:sz w:val="32"/>
          <w:szCs w:val="32"/>
          <w:lang w:val="en-US" w:eastAsia="zh-CN"/>
        </w:rPr>
        <w:t>53.88</w:t>
      </w:r>
      <w:r>
        <w:rPr>
          <w:rFonts w:hint="eastAsia" w:ascii="宋体" w:hAnsi="宋体" w:eastAsia="宋体" w:cs="宋体"/>
          <w:b w:val="0"/>
          <w:bCs/>
          <w:color w:val="auto"/>
          <w:sz w:val="32"/>
          <w:szCs w:val="32"/>
          <w:lang w:val="en-US"/>
        </w:rPr>
        <w:t>%</w:t>
      </w:r>
      <w:r>
        <w:rPr>
          <w:rFonts w:hint="eastAsia" w:ascii="宋体" w:hAnsi="宋体" w:eastAsia="宋体" w:cs="宋体"/>
          <w:b w:val="0"/>
          <w:bCs/>
          <w:color w:val="auto"/>
          <w:sz w:val="32"/>
          <w:szCs w:val="32"/>
          <w:lang w:eastAsia="zh-CN"/>
        </w:rPr>
        <w:t>。</w:t>
      </w:r>
      <w:r>
        <w:rPr>
          <w:rFonts w:hint="eastAsia" w:ascii="宋体" w:hAnsi="宋体" w:eastAsia="宋体" w:cs="宋体"/>
          <w:b w:val="0"/>
          <w:bCs/>
          <w:color w:val="auto"/>
          <w:sz w:val="32"/>
          <w:szCs w:val="32"/>
        </w:rPr>
        <w:t>决算数小于预算数的</w:t>
      </w:r>
      <w:r>
        <w:rPr>
          <w:rFonts w:hint="eastAsia" w:ascii="宋体" w:hAnsi="宋体" w:eastAsia="宋体" w:cs="宋体"/>
          <w:b w:val="0"/>
          <w:bCs/>
          <w:color w:val="auto"/>
          <w:sz w:val="32"/>
          <w:szCs w:val="32"/>
          <w:highlight w:val="none"/>
        </w:rPr>
        <w:t>主要原因</w:t>
      </w:r>
      <w:r>
        <w:rPr>
          <w:rFonts w:hint="eastAsia" w:ascii="宋体" w:hAnsi="宋体" w:eastAsia="宋体" w:cs="宋体"/>
          <w:b w:val="0"/>
          <w:bCs/>
          <w:color w:val="auto"/>
          <w:sz w:val="32"/>
          <w:szCs w:val="32"/>
        </w:rPr>
        <w:t>是预算执行过程中部分项目未执行完毕。</w:t>
      </w:r>
    </w:p>
    <w:p w14:paraId="06228865">
      <w:pPr>
        <w:keepNext w:val="0"/>
        <w:keepLines w:val="0"/>
        <w:pageBreakBefore w:val="0"/>
        <w:widowControl/>
        <w:kinsoku/>
        <w:wordWrap/>
        <w:overflowPunct/>
        <w:topLinePunct w:val="0"/>
        <w:autoSpaceDE/>
        <w:bidi w:val="0"/>
        <w:adjustRightInd/>
        <w:snapToGrid/>
        <w:spacing w:after="100" w:afterAutospacing="1"/>
        <w:ind w:firstLine="643" w:firstLineChars="200"/>
        <w:rPr>
          <w:rFonts w:hint="eastAsia" w:ascii="仿宋_GB2312" w:hAnsi="ˎ̥" w:eastAsia="仿宋_GB2312" w:cs="Times New Roman"/>
          <w:b/>
          <w:color w:val="auto"/>
          <w:sz w:val="32"/>
          <w:szCs w:val="32"/>
          <w:lang w:eastAsia="zh-CN"/>
        </w:rPr>
      </w:pPr>
      <w:r>
        <w:rPr>
          <w:rFonts w:hint="eastAsia" w:ascii="仿宋_GB2312" w:hAnsi="ˎ̥" w:eastAsia="仿宋_GB2312"/>
          <w:b/>
          <w:color w:val="auto"/>
          <w:sz w:val="32"/>
          <w:szCs w:val="32"/>
          <w:lang w:val="en-US" w:eastAsia="zh-CN"/>
        </w:rPr>
        <w:t>3.</w:t>
      </w:r>
      <w:r>
        <w:rPr>
          <w:rFonts w:hint="eastAsia" w:ascii="仿宋_GB2312" w:hAnsi="ˎ̥" w:eastAsia="仿宋_GB2312" w:cs="Times New Roman"/>
          <w:b/>
          <w:color w:val="auto"/>
          <w:sz w:val="32"/>
          <w:szCs w:val="32"/>
        </w:rPr>
        <w:t>教育支出（类）</w:t>
      </w:r>
      <w:r>
        <w:rPr>
          <w:rFonts w:hint="eastAsia" w:ascii="仿宋_GB2312" w:hAnsi="ˎ̥" w:eastAsia="仿宋_GB2312" w:cs="Times New Roman"/>
          <w:b/>
          <w:color w:val="auto"/>
          <w:sz w:val="32"/>
          <w:szCs w:val="32"/>
          <w:lang w:val="en-US" w:eastAsia="zh-CN"/>
        </w:rPr>
        <w:t>普通教育</w:t>
      </w:r>
      <w:r>
        <w:rPr>
          <w:rFonts w:hint="eastAsia" w:ascii="仿宋_GB2312" w:hAnsi="ˎ̥" w:eastAsia="仿宋_GB2312" w:cs="Times New Roman"/>
          <w:b/>
          <w:color w:val="auto"/>
          <w:sz w:val="32"/>
          <w:szCs w:val="32"/>
        </w:rPr>
        <w:t>（款）</w:t>
      </w:r>
      <w:r>
        <w:rPr>
          <w:rFonts w:hint="eastAsia" w:ascii="仿宋_GB2312" w:hAnsi="ˎ̥" w:eastAsia="仿宋_GB2312" w:cs="Times New Roman"/>
          <w:b/>
          <w:color w:val="auto"/>
          <w:sz w:val="32"/>
          <w:szCs w:val="32"/>
          <w:lang w:val="en-US" w:eastAsia="zh-CN"/>
        </w:rPr>
        <w:t>高中教育</w:t>
      </w:r>
      <w:r>
        <w:rPr>
          <w:rFonts w:hint="eastAsia" w:ascii="仿宋_GB2312" w:hAnsi="ˎ̥" w:eastAsia="仿宋_GB2312" w:cs="Times New Roman"/>
          <w:b/>
          <w:color w:val="auto"/>
          <w:sz w:val="32"/>
          <w:szCs w:val="32"/>
        </w:rPr>
        <w:t>（项）</w:t>
      </w:r>
      <w:r>
        <w:rPr>
          <w:rFonts w:hint="eastAsia" w:ascii="仿宋_GB2312" w:hAnsi="ˎ̥" w:eastAsia="仿宋_GB2312" w:cs="Times New Roman"/>
          <w:b/>
          <w:color w:val="auto"/>
          <w:sz w:val="32"/>
          <w:szCs w:val="32"/>
          <w:lang w:eastAsia="zh-CN"/>
        </w:rPr>
        <w:t>。</w:t>
      </w:r>
      <w:bookmarkStart w:id="90" w:name="_Hlk81666781"/>
    </w:p>
    <w:p w14:paraId="43296557">
      <w:pPr>
        <w:keepNext w:val="0"/>
        <w:keepLines w:val="0"/>
        <w:pageBreakBefore w:val="0"/>
        <w:widowControl/>
        <w:kinsoku/>
        <w:wordWrap/>
        <w:overflowPunct/>
        <w:topLinePunct w:val="0"/>
        <w:autoSpaceDE/>
        <w:bidi w:val="0"/>
        <w:adjustRightInd/>
        <w:snapToGrid/>
        <w:spacing w:after="100" w:afterAutospacing="1"/>
        <w:ind w:firstLine="640" w:firstLineChars="200"/>
        <w:rPr>
          <w:rFonts w:hint="eastAsia" w:ascii="宋体" w:hAnsi="宋体" w:eastAsia="宋体" w:cs="宋体"/>
          <w:color w:val="auto"/>
          <w:sz w:val="32"/>
          <w:szCs w:val="32"/>
          <w:lang w:val="en-US"/>
        </w:rPr>
      </w:pPr>
      <w:r>
        <w:rPr>
          <w:rFonts w:hint="eastAsia" w:ascii="仿宋" w:hAnsi="仿宋" w:eastAsia="仿宋" w:cs="仿宋"/>
          <w:color w:val="auto"/>
          <w:sz w:val="32"/>
          <w:szCs w:val="32"/>
          <w:lang w:eastAsia="zh-CN"/>
        </w:rPr>
        <w:t>年初预算为</w:t>
      </w:r>
      <w:r>
        <w:rPr>
          <w:rFonts w:hint="eastAsia" w:ascii="仿宋" w:hAnsi="仿宋" w:eastAsia="仿宋" w:cs="仿宋"/>
          <w:color w:val="auto"/>
          <w:sz w:val="32"/>
          <w:szCs w:val="32"/>
          <w:lang w:val="en-US" w:eastAsia="zh-CN"/>
        </w:rPr>
        <w:t>8,155.34</w:t>
      </w:r>
      <w:r>
        <w:rPr>
          <w:rFonts w:hint="eastAsia" w:ascii="仿宋" w:hAnsi="仿宋" w:eastAsia="仿宋" w:cs="仿宋"/>
          <w:color w:val="auto"/>
          <w:sz w:val="32"/>
          <w:szCs w:val="32"/>
          <w:lang w:eastAsia="zh-CN"/>
        </w:rPr>
        <w:t>万元，支出决算为</w:t>
      </w:r>
      <w:r>
        <w:rPr>
          <w:rFonts w:hint="eastAsia" w:ascii="仿宋" w:hAnsi="仿宋" w:eastAsia="仿宋" w:cs="仿宋"/>
          <w:color w:val="auto"/>
          <w:sz w:val="32"/>
          <w:szCs w:val="32"/>
          <w:lang w:val="en-US"/>
        </w:rPr>
        <w:t>7</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rPr>
        <w:t>507.78</w:t>
      </w:r>
      <w:r>
        <w:rPr>
          <w:rFonts w:hint="eastAsia" w:ascii="仿宋" w:hAnsi="仿宋" w:eastAsia="仿宋" w:cs="仿宋"/>
          <w:color w:val="auto"/>
          <w:sz w:val="32"/>
          <w:szCs w:val="32"/>
          <w:lang w:eastAsia="zh-CN"/>
        </w:rPr>
        <w:t>万元，完成年初预算的</w:t>
      </w:r>
      <w:r>
        <w:rPr>
          <w:rFonts w:hint="eastAsia" w:ascii="仿宋" w:hAnsi="仿宋" w:eastAsia="仿宋" w:cs="仿宋"/>
          <w:color w:val="auto"/>
          <w:sz w:val="32"/>
          <w:szCs w:val="32"/>
          <w:lang w:val="en-US" w:eastAsia="zh-CN"/>
        </w:rPr>
        <w:t>92.06</w:t>
      </w:r>
      <w:r>
        <w:rPr>
          <w:rFonts w:hint="eastAsia" w:ascii="仿宋" w:hAnsi="仿宋" w:eastAsia="仿宋" w:cs="仿宋"/>
          <w:color w:val="auto"/>
          <w:sz w:val="32"/>
          <w:szCs w:val="32"/>
          <w:lang w:val="en-US"/>
        </w:rPr>
        <w:t>%</w:t>
      </w:r>
      <w:r>
        <w:rPr>
          <w:rFonts w:hint="eastAsia" w:ascii="仿宋" w:hAnsi="仿宋" w:eastAsia="仿宋" w:cs="仿宋"/>
          <w:color w:val="auto"/>
          <w:sz w:val="32"/>
          <w:szCs w:val="32"/>
          <w:lang w:eastAsia="zh-CN"/>
        </w:rPr>
        <w:t>。</w:t>
      </w:r>
      <w:r>
        <w:rPr>
          <w:rFonts w:hint="eastAsia" w:ascii="仿宋" w:hAnsi="仿宋" w:eastAsia="仿宋" w:cs="仿宋"/>
          <w:b w:val="0"/>
          <w:bCs/>
          <w:color w:val="auto"/>
          <w:sz w:val="32"/>
          <w:szCs w:val="32"/>
        </w:rPr>
        <w:t>决算数小于预算数的</w:t>
      </w:r>
      <w:r>
        <w:rPr>
          <w:rFonts w:hint="eastAsia" w:ascii="仿宋" w:hAnsi="仿宋" w:eastAsia="仿宋" w:cs="仿宋"/>
          <w:b w:val="0"/>
          <w:bCs/>
          <w:color w:val="auto"/>
          <w:sz w:val="32"/>
          <w:szCs w:val="32"/>
          <w:highlight w:val="none"/>
        </w:rPr>
        <w:t>主要原因</w:t>
      </w:r>
      <w:r>
        <w:rPr>
          <w:rFonts w:hint="eastAsia" w:ascii="仿宋" w:hAnsi="仿宋" w:eastAsia="仿宋" w:cs="仿宋"/>
          <w:b w:val="0"/>
          <w:bCs/>
          <w:color w:val="auto"/>
          <w:sz w:val="32"/>
          <w:szCs w:val="32"/>
        </w:rPr>
        <w:t>是预算执行过程中部分项目未执行完毕。</w:t>
      </w:r>
    </w:p>
    <w:bookmarkEnd w:id="90"/>
    <w:p w14:paraId="0F212B8D">
      <w:pPr>
        <w:keepNext w:val="0"/>
        <w:keepLines w:val="0"/>
        <w:pageBreakBefore w:val="0"/>
        <w:widowControl/>
        <w:kinsoku/>
        <w:wordWrap/>
        <w:overflowPunct/>
        <w:topLinePunct w:val="0"/>
        <w:autoSpaceDE/>
        <w:bidi w:val="0"/>
        <w:adjustRightInd/>
        <w:snapToGrid/>
        <w:ind w:left="0"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w:t>
      </w:r>
      <w:r>
        <w:rPr>
          <w:rFonts w:hint="eastAsia" w:ascii="仿宋" w:hAnsi="仿宋" w:eastAsia="仿宋" w:cs="仿宋"/>
          <w:b/>
          <w:bCs/>
          <w:color w:val="auto"/>
          <w:sz w:val="32"/>
          <w:szCs w:val="32"/>
          <w:lang w:val="en-US"/>
        </w:rPr>
        <w:t>. 社会保障和就业支出</w:t>
      </w:r>
      <w:r>
        <w:rPr>
          <w:rFonts w:hint="eastAsia" w:ascii="仿宋" w:hAnsi="仿宋" w:eastAsia="仿宋" w:cs="仿宋"/>
          <w:b/>
          <w:bCs/>
          <w:color w:val="auto"/>
          <w:sz w:val="32"/>
          <w:szCs w:val="32"/>
          <w:lang w:val="en-US" w:eastAsia="zh-CN"/>
        </w:rPr>
        <w:t>（类）行政事业单位养老支出（款）机关事业单位基本养老保险缴费支出（项）。</w:t>
      </w:r>
    </w:p>
    <w:p w14:paraId="274AAD69">
      <w:pPr>
        <w:numPr>
          <w:ilvl w:val="0"/>
          <w:numId w:val="0"/>
        </w:numPr>
        <w:spacing w:line="578" w:lineRule="exact"/>
        <w:ind w:firstLine="640" w:firstLineChars="200"/>
        <w:rPr>
          <w:rFonts w:hint="eastAsia" w:ascii="仿宋" w:hAnsi="仿宋" w:eastAsia="仿宋" w:cs="仿宋"/>
          <w:color w:val="auto"/>
          <w:sz w:val="32"/>
          <w:szCs w:val="32"/>
          <w:lang w:eastAsia="zh-CN"/>
        </w:rPr>
      </w:pPr>
      <w:bookmarkStart w:id="91" w:name="_Hlk81666918"/>
      <w:r>
        <w:rPr>
          <w:rFonts w:hint="eastAsia" w:ascii="仿宋" w:hAnsi="仿宋" w:eastAsia="仿宋" w:cs="仿宋"/>
          <w:color w:val="auto"/>
          <w:sz w:val="32"/>
          <w:szCs w:val="32"/>
          <w:lang w:eastAsia="zh-CN"/>
        </w:rPr>
        <w:t>年初预算为</w:t>
      </w:r>
      <w:r>
        <w:rPr>
          <w:rFonts w:hint="eastAsia" w:ascii="仿宋" w:hAnsi="仿宋" w:eastAsia="仿宋" w:cs="仿宋"/>
          <w:color w:val="auto"/>
          <w:sz w:val="32"/>
          <w:szCs w:val="32"/>
          <w:lang w:val="en-US"/>
        </w:rPr>
        <w:t>680.08</w:t>
      </w:r>
      <w:r>
        <w:rPr>
          <w:rFonts w:hint="eastAsia" w:ascii="仿宋" w:hAnsi="仿宋" w:eastAsia="仿宋" w:cs="仿宋"/>
          <w:color w:val="auto"/>
          <w:sz w:val="32"/>
          <w:szCs w:val="32"/>
          <w:lang w:eastAsia="zh-CN"/>
        </w:rPr>
        <w:t>万元，支出决算为</w:t>
      </w:r>
      <w:r>
        <w:rPr>
          <w:rFonts w:hint="eastAsia" w:ascii="仿宋" w:hAnsi="仿宋" w:eastAsia="仿宋" w:cs="仿宋"/>
          <w:color w:val="auto"/>
          <w:sz w:val="32"/>
          <w:szCs w:val="32"/>
          <w:lang w:val="en-US"/>
        </w:rPr>
        <w:t>666.7</w:t>
      </w:r>
      <w:r>
        <w:rPr>
          <w:rFonts w:hint="eastAsia" w:ascii="仿宋" w:hAnsi="仿宋" w:eastAsia="仿宋" w:cs="仿宋"/>
          <w:color w:val="auto"/>
          <w:sz w:val="32"/>
          <w:szCs w:val="32"/>
          <w:lang w:eastAsia="zh-CN"/>
        </w:rPr>
        <w:t>万元，完成年初预算的</w:t>
      </w:r>
      <w:r>
        <w:rPr>
          <w:rFonts w:hint="eastAsia" w:ascii="仿宋" w:hAnsi="仿宋" w:eastAsia="仿宋" w:cs="仿宋"/>
          <w:color w:val="auto"/>
          <w:sz w:val="32"/>
          <w:szCs w:val="32"/>
          <w:lang w:val="en-US" w:eastAsia="zh-CN"/>
        </w:rPr>
        <w:t>98.03</w:t>
      </w:r>
      <w:r>
        <w:rPr>
          <w:rFonts w:hint="eastAsia" w:ascii="仿宋" w:hAnsi="仿宋" w:eastAsia="仿宋" w:cs="仿宋"/>
          <w:color w:val="auto"/>
          <w:sz w:val="32"/>
          <w:szCs w:val="32"/>
          <w:lang w:val="en-US"/>
        </w:rPr>
        <w:t>%</w:t>
      </w:r>
      <w:r>
        <w:rPr>
          <w:rFonts w:hint="eastAsia" w:ascii="仿宋" w:hAnsi="仿宋" w:eastAsia="仿宋" w:cs="仿宋"/>
          <w:color w:val="auto"/>
          <w:sz w:val="32"/>
          <w:szCs w:val="32"/>
          <w:lang w:eastAsia="zh-CN"/>
        </w:rPr>
        <w:t>。</w:t>
      </w:r>
      <w:bookmarkEnd w:id="91"/>
      <w:r>
        <w:rPr>
          <w:rFonts w:hint="eastAsia" w:ascii="仿宋" w:hAnsi="仿宋" w:eastAsia="仿宋" w:cs="仿宋"/>
          <w:b w:val="0"/>
          <w:bCs/>
          <w:color w:val="auto"/>
          <w:sz w:val="32"/>
          <w:szCs w:val="32"/>
        </w:rPr>
        <w:t>决算数小于预算数的</w:t>
      </w:r>
      <w:r>
        <w:rPr>
          <w:rFonts w:hint="eastAsia" w:ascii="仿宋" w:hAnsi="仿宋" w:eastAsia="仿宋" w:cs="仿宋"/>
          <w:b w:val="0"/>
          <w:bCs/>
          <w:color w:val="auto"/>
          <w:sz w:val="32"/>
          <w:szCs w:val="32"/>
          <w:highlight w:val="none"/>
        </w:rPr>
        <w:t>主要原因</w:t>
      </w:r>
      <w:r>
        <w:rPr>
          <w:rFonts w:hint="eastAsia" w:ascii="仿宋" w:hAnsi="仿宋" w:eastAsia="仿宋" w:cs="仿宋"/>
          <w:b w:val="0"/>
          <w:bCs/>
          <w:color w:val="auto"/>
          <w:sz w:val="32"/>
          <w:szCs w:val="32"/>
        </w:rPr>
        <w:t>是预算执行过程中部分项目未执行完毕。</w:t>
      </w:r>
    </w:p>
    <w:p w14:paraId="6073BBFD">
      <w:pPr>
        <w:keepNext w:val="0"/>
        <w:keepLines w:val="0"/>
        <w:pageBreakBefore w:val="0"/>
        <w:widowControl/>
        <w:kinsoku/>
        <w:wordWrap/>
        <w:overflowPunct/>
        <w:topLinePunct w:val="0"/>
        <w:autoSpaceDE/>
        <w:bidi w:val="0"/>
        <w:adjustRightInd/>
        <w:snapToGrid/>
        <w:ind w:left="0" w:firstLine="640" w:firstLineChars="200"/>
        <w:rPr>
          <w:rFonts w:hint="eastAsia" w:ascii="仿宋" w:hAnsi="仿宋" w:eastAsia="仿宋" w:cs="仿宋"/>
          <w:b/>
          <w:bCs/>
          <w:color w:val="auto"/>
          <w:sz w:val="32"/>
          <w:szCs w:val="32"/>
          <w:lang w:val="en-US" w:eastAsia="zh-CN"/>
        </w:rPr>
      </w:pPr>
      <w:r>
        <w:rPr>
          <w:rFonts w:hint="eastAsia" w:ascii="仿宋" w:hAnsi="仿宋" w:eastAsia="仿宋" w:cs="仿宋"/>
          <w:color w:val="auto"/>
          <w:sz w:val="32"/>
          <w:szCs w:val="32"/>
          <w:lang w:val="en-US" w:eastAsia="zh-CN"/>
        </w:rPr>
        <w:t>5.</w:t>
      </w:r>
      <w:r>
        <w:rPr>
          <w:rFonts w:hint="eastAsia" w:ascii="仿宋" w:hAnsi="仿宋" w:eastAsia="仿宋" w:cs="仿宋"/>
          <w:b/>
          <w:bCs/>
          <w:color w:val="auto"/>
          <w:sz w:val="32"/>
          <w:szCs w:val="32"/>
          <w:lang w:val="en-US"/>
        </w:rPr>
        <w:t>社会保障和就业支出</w:t>
      </w:r>
      <w:r>
        <w:rPr>
          <w:rFonts w:hint="eastAsia" w:ascii="仿宋" w:hAnsi="仿宋" w:eastAsia="仿宋" w:cs="仿宋"/>
          <w:b/>
          <w:bCs/>
          <w:color w:val="auto"/>
          <w:sz w:val="32"/>
          <w:szCs w:val="32"/>
          <w:lang w:val="en-US" w:eastAsia="zh-CN"/>
        </w:rPr>
        <w:t>（类）行政事业单位养老支出（款）机关事业单位职业年金缴费支出（项）。</w:t>
      </w:r>
    </w:p>
    <w:p w14:paraId="7C41DB03">
      <w:pPr>
        <w:keepNext w:val="0"/>
        <w:keepLines w:val="0"/>
        <w:pageBreakBefore w:val="0"/>
        <w:widowControl/>
        <w:kinsoku/>
        <w:wordWrap/>
        <w:overflowPunct/>
        <w:topLinePunct w:val="0"/>
        <w:autoSpaceDE/>
        <w:bidi w:val="0"/>
        <w:adjustRightInd/>
        <w:snapToGrid/>
        <w:spacing w:line="578" w:lineRule="exact"/>
        <w:ind w:firstLine="640" w:firstLineChars="200"/>
        <w:rPr>
          <w:rFonts w:hint="eastAsia" w:ascii="仿宋" w:hAnsi="仿宋" w:eastAsia="仿宋" w:cs="仿宋"/>
          <w:b w:val="0"/>
          <w:bCs/>
          <w:color w:val="auto"/>
          <w:sz w:val="32"/>
          <w:szCs w:val="32"/>
        </w:rPr>
      </w:pPr>
      <w:r>
        <w:rPr>
          <w:rFonts w:hint="eastAsia" w:ascii="仿宋" w:hAnsi="仿宋" w:eastAsia="仿宋" w:cs="仿宋"/>
          <w:color w:val="auto"/>
          <w:sz w:val="32"/>
          <w:szCs w:val="32"/>
          <w:lang w:eastAsia="zh-CN"/>
        </w:rPr>
        <w:t>年初预算为</w:t>
      </w:r>
      <w:r>
        <w:rPr>
          <w:rFonts w:hint="eastAsia" w:ascii="仿宋" w:hAnsi="仿宋" w:eastAsia="仿宋" w:cs="仿宋"/>
          <w:color w:val="auto"/>
          <w:sz w:val="32"/>
          <w:szCs w:val="32"/>
          <w:lang w:val="en-US"/>
        </w:rPr>
        <w:t>340.04</w:t>
      </w:r>
      <w:r>
        <w:rPr>
          <w:rFonts w:hint="eastAsia" w:ascii="仿宋" w:hAnsi="仿宋" w:eastAsia="仿宋" w:cs="仿宋"/>
          <w:color w:val="auto"/>
          <w:sz w:val="32"/>
          <w:szCs w:val="32"/>
          <w:lang w:eastAsia="zh-CN"/>
        </w:rPr>
        <w:t>万元，支出决算为</w:t>
      </w:r>
      <w:r>
        <w:rPr>
          <w:rFonts w:hint="eastAsia" w:ascii="仿宋" w:hAnsi="仿宋" w:eastAsia="仿宋" w:cs="仿宋"/>
          <w:color w:val="auto"/>
          <w:sz w:val="32"/>
          <w:szCs w:val="32"/>
          <w:lang w:val="en-US"/>
        </w:rPr>
        <w:t>341.38</w:t>
      </w:r>
      <w:r>
        <w:rPr>
          <w:rFonts w:hint="eastAsia" w:ascii="仿宋" w:hAnsi="仿宋" w:eastAsia="仿宋" w:cs="仿宋"/>
          <w:color w:val="auto"/>
          <w:sz w:val="32"/>
          <w:szCs w:val="32"/>
          <w:lang w:eastAsia="zh-CN"/>
        </w:rPr>
        <w:t>万元，完成年初预算的</w:t>
      </w:r>
      <w:r>
        <w:rPr>
          <w:rFonts w:hint="eastAsia" w:ascii="仿宋" w:hAnsi="仿宋" w:eastAsia="仿宋" w:cs="仿宋"/>
          <w:color w:val="auto"/>
          <w:sz w:val="32"/>
          <w:szCs w:val="32"/>
          <w:lang w:val="en-US" w:eastAsia="zh-CN"/>
        </w:rPr>
        <w:t>100.39</w:t>
      </w:r>
      <w:r>
        <w:rPr>
          <w:rFonts w:hint="eastAsia" w:ascii="仿宋" w:hAnsi="仿宋" w:eastAsia="仿宋" w:cs="仿宋"/>
          <w:color w:val="auto"/>
          <w:sz w:val="32"/>
          <w:szCs w:val="32"/>
          <w:lang w:val="en-US"/>
        </w:rPr>
        <w:t>%</w:t>
      </w:r>
      <w:r>
        <w:rPr>
          <w:rFonts w:hint="eastAsia" w:ascii="仿宋" w:hAnsi="仿宋" w:eastAsia="仿宋" w:cs="仿宋"/>
          <w:color w:val="auto"/>
          <w:sz w:val="32"/>
          <w:szCs w:val="32"/>
          <w:lang w:eastAsia="zh-CN"/>
        </w:rPr>
        <w:t>。</w:t>
      </w:r>
      <w:r>
        <w:rPr>
          <w:rFonts w:hint="eastAsia" w:ascii="仿宋" w:hAnsi="仿宋" w:eastAsia="仿宋" w:cs="仿宋"/>
          <w:b w:val="0"/>
          <w:bCs/>
          <w:color w:val="auto"/>
          <w:sz w:val="32"/>
          <w:szCs w:val="32"/>
        </w:rPr>
        <w:t>决算数</w:t>
      </w:r>
      <w:r>
        <w:rPr>
          <w:rFonts w:hint="eastAsia" w:ascii="仿宋" w:hAnsi="仿宋" w:eastAsia="仿宋" w:cs="仿宋"/>
          <w:b w:val="0"/>
          <w:bCs/>
          <w:color w:val="auto"/>
          <w:sz w:val="32"/>
          <w:szCs w:val="32"/>
          <w:lang w:val="en-US" w:eastAsia="zh-CN"/>
        </w:rPr>
        <w:t>大</w:t>
      </w:r>
      <w:r>
        <w:rPr>
          <w:rFonts w:hint="eastAsia" w:ascii="仿宋" w:hAnsi="仿宋" w:eastAsia="仿宋" w:cs="仿宋"/>
          <w:b w:val="0"/>
          <w:bCs/>
          <w:color w:val="auto"/>
          <w:sz w:val="32"/>
          <w:szCs w:val="32"/>
        </w:rPr>
        <w:t>于预算数的</w:t>
      </w:r>
      <w:r>
        <w:rPr>
          <w:rFonts w:hint="eastAsia" w:ascii="仿宋" w:hAnsi="仿宋" w:eastAsia="仿宋" w:cs="仿宋"/>
          <w:b w:val="0"/>
          <w:bCs/>
          <w:color w:val="auto"/>
          <w:sz w:val="32"/>
          <w:szCs w:val="32"/>
          <w:highlight w:val="none"/>
        </w:rPr>
        <w:t>主要原因</w:t>
      </w:r>
      <w:r>
        <w:rPr>
          <w:rFonts w:hint="eastAsia" w:ascii="仿宋" w:hAnsi="仿宋" w:eastAsia="仿宋" w:cs="仿宋"/>
          <w:b w:val="0"/>
          <w:bCs/>
          <w:color w:val="auto"/>
          <w:sz w:val="32"/>
          <w:szCs w:val="32"/>
        </w:rPr>
        <w:t>是</w:t>
      </w:r>
      <w:r>
        <w:rPr>
          <w:rFonts w:hint="eastAsia" w:ascii="仿宋" w:hAnsi="仿宋" w:eastAsia="仿宋" w:cs="仿宋"/>
          <w:b w:val="0"/>
          <w:bCs/>
          <w:color w:val="auto"/>
          <w:sz w:val="32"/>
          <w:szCs w:val="32"/>
          <w:lang w:val="en-US" w:eastAsia="zh-CN"/>
        </w:rPr>
        <w:t>人员变动年中追加职业年金</w:t>
      </w:r>
      <w:r>
        <w:rPr>
          <w:rFonts w:hint="eastAsia" w:ascii="仿宋" w:hAnsi="仿宋" w:eastAsia="仿宋" w:cs="仿宋"/>
          <w:b w:val="0"/>
          <w:bCs/>
          <w:color w:val="auto"/>
          <w:sz w:val="32"/>
          <w:szCs w:val="32"/>
        </w:rPr>
        <w:t>。</w:t>
      </w:r>
    </w:p>
    <w:p w14:paraId="7C6D6FDB">
      <w:pPr>
        <w:keepNext w:val="0"/>
        <w:keepLines w:val="0"/>
        <w:pageBreakBefore w:val="0"/>
        <w:widowControl/>
        <w:numPr>
          <w:ilvl w:val="0"/>
          <w:numId w:val="0"/>
        </w:numPr>
        <w:kinsoku/>
        <w:wordWrap/>
        <w:overflowPunct/>
        <w:topLinePunct w:val="0"/>
        <w:autoSpaceDE/>
        <w:bidi w:val="0"/>
        <w:adjustRightInd/>
        <w:snapToGrid/>
        <w:spacing w:line="578" w:lineRule="exact"/>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6.</w:t>
      </w:r>
      <w:r>
        <w:rPr>
          <w:rFonts w:hint="eastAsia" w:ascii="仿宋" w:hAnsi="仿宋" w:eastAsia="仿宋" w:cs="仿宋"/>
          <w:b/>
          <w:bCs/>
          <w:color w:val="auto"/>
          <w:sz w:val="32"/>
          <w:szCs w:val="32"/>
          <w:lang w:val="en-US"/>
        </w:rPr>
        <w:t>社会保障和就业支出</w:t>
      </w:r>
      <w:r>
        <w:rPr>
          <w:rFonts w:hint="eastAsia" w:ascii="仿宋" w:hAnsi="仿宋" w:eastAsia="仿宋" w:cs="仿宋"/>
          <w:b/>
          <w:bCs/>
          <w:color w:val="auto"/>
          <w:sz w:val="32"/>
          <w:szCs w:val="32"/>
          <w:lang w:val="en-US" w:eastAsia="zh-CN"/>
        </w:rPr>
        <w:t>（类）抚恤（款）死亡抚恤（项）。</w:t>
      </w:r>
    </w:p>
    <w:p w14:paraId="479FAE77">
      <w:pPr>
        <w:keepNext w:val="0"/>
        <w:keepLines w:val="0"/>
        <w:pageBreakBefore w:val="0"/>
        <w:widowControl/>
        <w:kinsoku/>
        <w:wordWrap/>
        <w:overflowPunct/>
        <w:topLinePunct w:val="0"/>
        <w:autoSpaceDE/>
        <w:bidi w:val="0"/>
        <w:adjustRightInd/>
        <w:snapToGrid/>
        <w:spacing w:line="578" w:lineRule="exact"/>
        <w:ind w:firstLine="640" w:firstLineChars="200"/>
        <w:rPr>
          <w:rFonts w:hint="default" w:ascii="仿宋" w:hAnsi="仿宋" w:eastAsia="仿宋" w:cs="仿宋"/>
          <w:b w:val="0"/>
          <w:bCs/>
          <w:color w:val="auto"/>
          <w:sz w:val="32"/>
          <w:szCs w:val="32"/>
          <w:lang w:val="en-US" w:eastAsia="zh-CN"/>
        </w:rPr>
      </w:pPr>
      <w:r>
        <w:rPr>
          <w:rFonts w:hint="eastAsia" w:ascii="仿宋" w:hAnsi="仿宋" w:eastAsia="仿宋" w:cs="仿宋"/>
          <w:color w:val="auto"/>
          <w:sz w:val="32"/>
          <w:szCs w:val="32"/>
          <w:lang w:eastAsia="zh-CN"/>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lang w:eastAsia="zh-CN"/>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lang w:eastAsia="zh-CN"/>
        </w:rPr>
        <w:t>万元</w:t>
      </w:r>
      <w:r>
        <w:rPr>
          <w:rFonts w:hint="eastAsia" w:ascii="仿宋" w:hAnsi="仿宋" w:eastAsia="仿宋" w:cs="仿宋"/>
          <w:b w:val="0"/>
          <w:bCs/>
          <w:color w:val="auto"/>
          <w:sz w:val="32"/>
          <w:szCs w:val="32"/>
        </w:rPr>
        <w:t>。</w:t>
      </w:r>
    </w:p>
    <w:p w14:paraId="232AAA30">
      <w:pPr>
        <w:keepNext w:val="0"/>
        <w:keepLines w:val="0"/>
        <w:pageBreakBefore w:val="0"/>
        <w:widowControl/>
        <w:numPr>
          <w:ilvl w:val="0"/>
          <w:numId w:val="0"/>
        </w:numPr>
        <w:kinsoku/>
        <w:wordWrap/>
        <w:overflowPunct/>
        <w:topLinePunct w:val="0"/>
        <w:autoSpaceDE/>
        <w:bidi w:val="0"/>
        <w:adjustRightInd/>
        <w:snapToGrid/>
        <w:spacing w:line="578" w:lineRule="exact"/>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7.</w:t>
      </w:r>
      <w:r>
        <w:rPr>
          <w:rFonts w:hint="eastAsia" w:ascii="仿宋" w:hAnsi="仿宋" w:eastAsia="仿宋" w:cs="仿宋"/>
          <w:b/>
          <w:bCs/>
          <w:color w:val="auto"/>
          <w:sz w:val="32"/>
          <w:szCs w:val="32"/>
          <w:lang w:val="en-US"/>
        </w:rPr>
        <w:t>社会保障和就业支出</w:t>
      </w:r>
      <w:r>
        <w:rPr>
          <w:rFonts w:hint="eastAsia" w:ascii="仿宋" w:hAnsi="仿宋" w:eastAsia="仿宋" w:cs="仿宋"/>
          <w:b/>
          <w:bCs/>
          <w:color w:val="auto"/>
          <w:sz w:val="32"/>
          <w:szCs w:val="32"/>
          <w:lang w:val="en-US" w:eastAsia="zh-CN"/>
        </w:rPr>
        <w:t>（类）抚恤（款）其他优抚支出（项）。</w:t>
      </w:r>
    </w:p>
    <w:p w14:paraId="2AA2E238">
      <w:pPr>
        <w:numPr>
          <w:ilvl w:val="0"/>
          <w:numId w:val="0"/>
        </w:numPr>
        <w:spacing w:line="578" w:lineRule="exact"/>
        <w:ind w:firstLine="640" w:firstLineChars="200"/>
        <w:rPr>
          <w:rFonts w:hint="default" w:ascii="仿宋" w:hAnsi="仿宋" w:eastAsia="仿宋" w:cs="仿宋"/>
          <w:b/>
          <w:bCs/>
          <w:color w:val="auto"/>
          <w:sz w:val="32"/>
          <w:szCs w:val="32"/>
          <w:lang w:val="en-US" w:eastAsia="zh-CN"/>
        </w:rPr>
      </w:pPr>
      <w:r>
        <w:rPr>
          <w:rFonts w:hint="eastAsia" w:ascii="仿宋" w:hAnsi="仿宋" w:eastAsia="仿宋" w:cs="仿宋"/>
          <w:color w:val="auto"/>
          <w:sz w:val="32"/>
          <w:szCs w:val="32"/>
          <w:lang w:eastAsia="zh-CN"/>
        </w:rPr>
        <w:t>年初预算为</w:t>
      </w:r>
      <w:r>
        <w:rPr>
          <w:rFonts w:hint="eastAsia" w:ascii="仿宋" w:hAnsi="仿宋" w:eastAsia="仿宋" w:cs="仿宋"/>
          <w:color w:val="auto"/>
          <w:sz w:val="32"/>
          <w:szCs w:val="32"/>
          <w:lang w:val="en-US" w:eastAsia="zh-CN"/>
        </w:rPr>
        <w:t>2.53</w:t>
      </w:r>
      <w:r>
        <w:rPr>
          <w:rFonts w:hint="eastAsia" w:ascii="仿宋" w:hAnsi="仿宋" w:eastAsia="仿宋" w:cs="仿宋"/>
          <w:color w:val="auto"/>
          <w:sz w:val="32"/>
          <w:szCs w:val="32"/>
          <w:lang w:eastAsia="zh-CN"/>
        </w:rPr>
        <w:t>万元，支出决算为</w:t>
      </w:r>
      <w:r>
        <w:rPr>
          <w:rFonts w:hint="eastAsia" w:ascii="仿宋" w:hAnsi="仿宋" w:eastAsia="仿宋" w:cs="仿宋"/>
          <w:color w:val="auto"/>
          <w:sz w:val="32"/>
          <w:szCs w:val="32"/>
          <w:lang w:val="en-US" w:eastAsia="zh-CN"/>
        </w:rPr>
        <w:t>2.53</w:t>
      </w:r>
      <w:r>
        <w:rPr>
          <w:rFonts w:hint="eastAsia" w:ascii="仿宋" w:hAnsi="仿宋" w:eastAsia="仿宋" w:cs="仿宋"/>
          <w:color w:val="auto"/>
          <w:sz w:val="32"/>
          <w:szCs w:val="32"/>
          <w:lang w:eastAsia="zh-CN"/>
        </w:rPr>
        <w:t>万元，完成年初预算的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lang w:val="en-US"/>
        </w:rPr>
        <w:t>%</w:t>
      </w:r>
      <w:r>
        <w:rPr>
          <w:rFonts w:hint="eastAsia" w:ascii="仿宋" w:hAnsi="仿宋" w:eastAsia="仿宋" w:cs="仿宋"/>
          <w:color w:val="auto"/>
          <w:sz w:val="32"/>
          <w:szCs w:val="32"/>
          <w:lang w:eastAsia="zh-CN"/>
        </w:rPr>
        <w:t>。</w:t>
      </w:r>
    </w:p>
    <w:p w14:paraId="51AACBCD">
      <w:pPr>
        <w:keepNext w:val="0"/>
        <w:keepLines w:val="0"/>
        <w:pageBreakBefore w:val="0"/>
        <w:widowControl/>
        <w:kinsoku/>
        <w:wordWrap/>
        <w:overflowPunct/>
        <w:topLinePunct w:val="0"/>
        <w:autoSpaceDE/>
        <w:bidi w:val="0"/>
        <w:adjustRightInd/>
        <w:snapToGrid/>
        <w:ind w:left="0"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8</w:t>
      </w:r>
      <w:r>
        <w:rPr>
          <w:rFonts w:hint="eastAsia" w:ascii="仿宋" w:hAnsi="仿宋" w:eastAsia="仿宋" w:cs="仿宋"/>
          <w:b/>
          <w:bCs/>
          <w:color w:val="auto"/>
          <w:sz w:val="32"/>
          <w:szCs w:val="32"/>
          <w:lang w:val="en-US"/>
        </w:rPr>
        <w:t>. 卫生健康支出</w:t>
      </w:r>
      <w:r>
        <w:rPr>
          <w:rFonts w:hint="eastAsia" w:ascii="仿宋" w:hAnsi="仿宋" w:eastAsia="仿宋" w:cs="仿宋"/>
          <w:b/>
          <w:bCs/>
          <w:color w:val="auto"/>
          <w:sz w:val="32"/>
          <w:szCs w:val="32"/>
          <w:lang w:val="en-US" w:eastAsia="zh-CN"/>
        </w:rPr>
        <w:t>（类）</w:t>
      </w:r>
      <w:r>
        <w:rPr>
          <w:rFonts w:hint="eastAsia" w:ascii="仿宋" w:hAnsi="仿宋" w:eastAsia="仿宋" w:cs="仿宋"/>
          <w:b/>
          <w:bCs/>
          <w:color w:val="auto"/>
          <w:sz w:val="32"/>
          <w:szCs w:val="32"/>
          <w:lang w:val="en-US"/>
        </w:rPr>
        <w:t>行政事业单位医疗</w:t>
      </w:r>
      <w:r>
        <w:rPr>
          <w:rFonts w:hint="eastAsia" w:ascii="仿宋" w:hAnsi="仿宋" w:eastAsia="仿宋" w:cs="仿宋"/>
          <w:b/>
          <w:bCs/>
          <w:color w:val="auto"/>
          <w:sz w:val="32"/>
          <w:szCs w:val="32"/>
          <w:lang w:val="en-US" w:eastAsia="zh-CN"/>
        </w:rPr>
        <w:t>（款）事业单位医疗（项）</w:t>
      </w:r>
    </w:p>
    <w:p w14:paraId="0A9AA7C0">
      <w:pPr>
        <w:keepNext w:val="0"/>
        <w:keepLines w:val="0"/>
        <w:pageBreakBefore w:val="0"/>
        <w:widowControl/>
        <w:kinsoku/>
        <w:wordWrap/>
        <w:overflowPunct/>
        <w:topLinePunct w:val="0"/>
        <w:autoSpaceDE/>
        <w:bidi w:val="0"/>
        <w:adjustRightInd/>
        <w:snapToGrid/>
        <w:spacing w:line="578" w:lineRule="exact"/>
        <w:ind w:firstLine="640" w:firstLineChars="200"/>
        <w:rPr>
          <w:rFonts w:hint="eastAsia" w:ascii="仿宋" w:hAnsi="仿宋" w:eastAsia="仿宋" w:cs="仿宋"/>
          <w:color w:val="auto"/>
          <w:sz w:val="32"/>
          <w:szCs w:val="32"/>
          <w:lang w:val="en-US"/>
        </w:rPr>
      </w:pPr>
      <w:r>
        <w:rPr>
          <w:rFonts w:hint="eastAsia" w:ascii="仿宋" w:hAnsi="仿宋" w:eastAsia="仿宋" w:cs="仿宋"/>
          <w:color w:val="auto"/>
          <w:sz w:val="32"/>
          <w:szCs w:val="32"/>
          <w:lang w:eastAsia="zh-CN"/>
        </w:rPr>
        <w:t>年初预算为</w:t>
      </w:r>
      <w:r>
        <w:rPr>
          <w:rFonts w:hint="eastAsia" w:ascii="仿宋" w:hAnsi="仿宋" w:eastAsia="仿宋" w:cs="仿宋"/>
          <w:color w:val="auto"/>
          <w:sz w:val="32"/>
          <w:szCs w:val="32"/>
          <w:lang w:val="en-US"/>
        </w:rPr>
        <w:t>239.12</w:t>
      </w:r>
      <w:r>
        <w:rPr>
          <w:rFonts w:hint="eastAsia" w:ascii="仿宋" w:hAnsi="仿宋" w:eastAsia="仿宋" w:cs="仿宋"/>
          <w:color w:val="auto"/>
          <w:sz w:val="32"/>
          <w:szCs w:val="32"/>
          <w:lang w:eastAsia="zh-CN"/>
        </w:rPr>
        <w:t>万元，支出决算为</w:t>
      </w:r>
      <w:r>
        <w:rPr>
          <w:rFonts w:hint="eastAsia" w:ascii="仿宋" w:hAnsi="仿宋" w:eastAsia="仿宋" w:cs="仿宋"/>
          <w:color w:val="auto"/>
          <w:sz w:val="32"/>
          <w:szCs w:val="32"/>
          <w:lang w:val="en-US"/>
        </w:rPr>
        <w:t>238.86</w:t>
      </w:r>
      <w:r>
        <w:rPr>
          <w:rFonts w:hint="eastAsia" w:ascii="仿宋" w:hAnsi="仿宋" w:eastAsia="仿宋" w:cs="仿宋"/>
          <w:color w:val="auto"/>
          <w:sz w:val="32"/>
          <w:szCs w:val="32"/>
          <w:lang w:eastAsia="zh-CN"/>
        </w:rPr>
        <w:t>万元，完成年初预算的</w:t>
      </w:r>
      <w:r>
        <w:rPr>
          <w:rFonts w:hint="eastAsia" w:ascii="仿宋" w:hAnsi="仿宋" w:eastAsia="仿宋" w:cs="仿宋"/>
          <w:color w:val="auto"/>
          <w:sz w:val="32"/>
          <w:szCs w:val="32"/>
          <w:lang w:val="en-US" w:eastAsia="zh-CN"/>
        </w:rPr>
        <w:t>98.89</w:t>
      </w:r>
      <w:r>
        <w:rPr>
          <w:rFonts w:hint="eastAsia" w:ascii="仿宋" w:hAnsi="仿宋" w:eastAsia="仿宋" w:cs="仿宋"/>
          <w:color w:val="auto"/>
          <w:sz w:val="32"/>
          <w:szCs w:val="32"/>
          <w:lang w:val="en-US"/>
        </w:rPr>
        <w:t>%</w:t>
      </w:r>
      <w:r>
        <w:rPr>
          <w:rFonts w:hint="eastAsia" w:ascii="仿宋" w:hAnsi="仿宋" w:eastAsia="仿宋" w:cs="仿宋"/>
          <w:color w:val="auto"/>
          <w:sz w:val="32"/>
          <w:szCs w:val="32"/>
          <w:lang w:eastAsia="zh-CN"/>
        </w:rPr>
        <w:t>。</w:t>
      </w:r>
      <w:r>
        <w:rPr>
          <w:rFonts w:hint="eastAsia" w:ascii="仿宋" w:hAnsi="仿宋" w:eastAsia="仿宋" w:cs="仿宋"/>
          <w:b w:val="0"/>
          <w:bCs/>
          <w:color w:val="auto"/>
          <w:sz w:val="32"/>
          <w:szCs w:val="32"/>
        </w:rPr>
        <w:t>决算数小于预算数的</w:t>
      </w:r>
      <w:r>
        <w:rPr>
          <w:rFonts w:hint="eastAsia" w:ascii="仿宋" w:hAnsi="仿宋" w:eastAsia="仿宋" w:cs="仿宋"/>
          <w:b w:val="0"/>
          <w:bCs/>
          <w:color w:val="auto"/>
          <w:sz w:val="32"/>
          <w:szCs w:val="32"/>
          <w:highlight w:val="none"/>
        </w:rPr>
        <w:t>主要原因</w:t>
      </w:r>
      <w:r>
        <w:rPr>
          <w:rFonts w:hint="eastAsia" w:ascii="仿宋" w:hAnsi="仿宋" w:eastAsia="仿宋" w:cs="仿宋"/>
          <w:b w:val="0"/>
          <w:bCs/>
          <w:color w:val="auto"/>
          <w:sz w:val="32"/>
          <w:szCs w:val="32"/>
        </w:rPr>
        <w:t>是预算执行过程中部分项目未执行完毕。</w:t>
      </w:r>
    </w:p>
    <w:p w14:paraId="2AB21563">
      <w:pPr>
        <w:keepNext w:val="0"/>
        <w:keepLines w:val="0"/>
        <w:pageBreakBefore w:val="0"/>
        <w:widowControl/>
        <w:numPr>
          <w:ilvl w:val="0"/>
          <w:numId w:val="0"/>
        </w:numPr>
        <w:kinsoku/>
        <w:wordWrap/>
        <w:overflowPunct/>
        <w:topLinePunct w:val="0"/>
        <w:autoSpaceDE/>
        <w:bidi w:val="0"/>
        <w:adjustRightInd/>
        <w:snapToGrid/>
        <w:ind w:firstLine="643" w:firstLineChars="200"/>
        <w:jc w:val="both"/>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9.</w:t>
      </w:r>
      <w:r>
        <w:rPr>
          <w:rFonts w:hint="eastAsia" w:ascii="仿宋" w:hAnsi="仿宋" w:eastAsia="仿宋" w:cs="仿宋"/>
          <w:b/>
          <w:bCs/>
          <w:color w:val="auto"/>
          <w:sz w:val="32"/>
          <w:szCs w:val="32"/>
          <w:lang w:val="en-US"/>
        </w:rPr>
        <w:t>住房保障支出</w:t>
      </w:r>
      <w:r>
        <w:rPr>
          <w:rFonts w:hint="eastAsia" w:ascii="仿宋" w:hAnsi="仿宋" w:eastAsia="仿宋" w:cs="仿宋"/>
          <w:b/>
          <w:bCs/>
          <w:color w:val="auto"/>
          <w:sz w:val="32"/>
          <w:szCs w:val="32"/>
          <w:lang w:val="en-US" w:eastAsia="zh-CN"/>
        </w:rPr>
        <w:t>（类）</w:t>
      </w:r>
      <w:r>
        <w:rPr>
          <w:rFonts w:hint="eastAsia" w:ascii="仿宋" w:hAnsi="仿宋" w:eastAsia="仿宋" w:cs="仿宋"/>
          <w:b/>
          <w:bCs/>
          <w:color w:val="auto"/>
          <w:sz w:val="32"/>
          <w:szCs w:val="32"/>
          <w:lang w:val="en-US"/>
        </w:rPr>
        <w:t>住房改革支出</w:t>
      </w:r>
      <w:r>
        <w:rPr>
          <w:rFonts w:hint="eastAsia" w:ascii="仿宋" w:hAnsi="仿宋" w:eastAsia="仿宋" w:cs="仿宋"/>
          <w:b/>
          <w:bCs/>
          <w:color w:val="auto"/>
          <w:sz w:val="32"/>
          <w:szCs w:val="32"/>
          <w:lang w:val="en-US" w:eastAsia="zh-CN"/>
        </w:rPr>
        <w:t>（款）住房公积（项）。</w:t>
      </w:r>
    </w:p>
    <w:p w14:paraId="53DFA07D">
      <w:pPr>
        <w:keepNext w:val="0"/>
        <w:keepLines w:val="0"/>
        <w:pageBreakBefore w:val="0"/>
        <w:widowControl/>
        <w:kinsoku/>
        <w:wordWrap/>
        <w:overflowPunct/>
        <w:topLinePunct w:val="0"/>
        <w:autoSpaceDE/>
        <w:bidi w:val="0"/>
        <w:adjustRightInd/>
        <w:snapToGrid/>
        <w:spacing w:line="578" w:lineRule="exact"/>
        <w:ind w:firstLine="640" w:firstLineChars="200"/>
        <w:rPr>
          <w:rFonts w:ascii="仿宋_GB2312" w:hAnsi="ˎ̥" w:eastAsia="仿宋_GB2312" w:cs="仿宋_GB2312"/>
          <w:color w:val="auto"/>
          <w:sz w:val="32"/>
          <w:szCs w:val="32"/>
          <w:shd w:val="clear" w:color="auto" w:fill="FFFFFF"/>
        </w:rPr>
      </w:pPr>
      <w:r>
        <w:rPr>
          <w:rFonts w:hint="eastAsia" w:ascii="仿宋" w:hAnsi="仿宋" w:eastAsia="仿宋" w:cs="仿宋"/>
          <w:color w:val="auto"/>
          <w:sz w:val="32"/>
          <w:szCs w:val="32"/>
          <w:lang w:eastAsia="zh-CN"/>
        </w:rPr>
        <w:t>年初预算为</w:t>
      </w:r>
      <w:r>
        <w:rPr>
          <w:rFonts w:hint="eastAsia" w:ascii="仿宋" w:hAnsi="仿宋" w:eastAsia="仿宋" w:cs="仿宋"/>
          <w:color w:val="auto"/>
          <w:sz w:val="32"/>
          <w:szCs w:val="32"/>
          <w:lang w:val="en-US"/>
        </w:rPr>
        <w:t>559.63</w:t>
      </w:r>
      <w:r>
        <w:rPr>
          <w:rFonts w:hint="eastAsia" w:ascii="仿宋" w:hAnsi="仿宋" w:eastAsia="仿宋" w:cs="仿宋"/>
          <w:color w:val="auto"/>
          <w:sz w:val="32"/>
          <w:szCs w:val="32"/>
          <w:lang w:eastAsia="zh-CN"/>
        </w:rPr>
        <w:t>万元，支出决算为</w:t>
      </w:r>
      <w:r>
        <w:rPr>
          <w:rFonts w:hint="eastAsia" w:ascii="仿宋" w:hAnsi="仿宋" w:eastAsia="仿宋" w:cs="仿宋"/>
          <w:color w:val="auto"/>
          <w:sz w:val="32"/>
          <w:szCs w:val="32"/>
          <w:lang w:val="en-US"/>
        </w:rPr>
        <w:t>546.14</w:t>
      </w:r>
      <w:r>
        <w:rPr>
          <w:rFonts w:hint="eastAsia" w:ascii="仿宋" w:hAnsi="仿宋" w:eastAsia="仿宋" w:cs="仿宋"/>
          <w:color w:val="auto"/>
          <w:sz w:val="32"/>
          <w:szCs w:val="32"/>
          <w:lang w:eastAsia="zh-CN"/>
        </w:rPr>
        <w:t>万元。完成年初预算的</w:t>
      </w:r>
      <w:r>
        <w:rPr>
          <w:rFonts w:hint="eastAsia" w:ascii="仿宋" w:hAnsi="仿宋" w:eastAsia="仿宋" w:cs="仿宋"/>
          <w:color w:val="auto"/>
          <w:sz w:val="32"/>
          <w:szCs w:val="32"/>
          <w:lang w:val="en-US" w:eastAsia="zh-CN"/>
        </w:rPr>
        <w:t>97.59</w:t>
      </w:r>
      <w:r>
        <w:rPr>
          <w:rFonts w:hint="eastAsia" w:ascii="仿宋" w:hAnsi="仿宋" w:eastAsia="仿宋" w:cs="仿宋"/>
          <w:color w:val="auto"/>
          <w:sz w:val="32"/>
          <w:szCs w:val="32"/>
          <w:lang w:val="en-US"/>
        </w:rPr>
        <w:t>%</w:t>
      </w:r>
      <w:r>
        <w:rPr>
          <w:rFonts w:hint="eastAsia" w:ascii="仿宋" w:hAnsi="仿宋" w:eastAsia="仿宋" w:cs="仿宋"/>
          <w:color w:val="auto"/>
          <w:sz w:val="32"/>
          <w:szCs w:val="32"/>
          <w:lang w:eastAsia="zh-CN"/>
        </w:rPr>
        <w:t>。</w:t>
      </w:r>
      <w:r>
        <w:rPr>
          <w:rFonts w:hint="eastAsia" w:ascii="仿宋" w:hAnsi="仿宋" w:eastAsia="仿宋" w:cs="仿宋"/>
          <w:b w:val="0"/>
          <w:bCs/>
          <w:color w:val="auto"/>
          <w:sz w:val="32"/>
          <w:szCs w:val="32"/>
        </w:rPr>
        <w:t>决算数小于预算数的</w:t>
      </w:r>
      <w:r>
        <w:rPr>
          <w:rFonts w:hint="eastAsia" w:ascii="仿宋" w:hAnsi="仿宋" w:eastAsia="仿宋" w:cs="仿宋"/>
          <w:b w:val="0"/>
          <w:bCs/>
          <w:color w:val="auto"/>
          <w:sz w:val="32"/>
          <w:szCs w:val="32"/>
          <w:highlight w:val="none"/>
        </w:rPr>
        <w:t>主要原因</w:t>
      </w:r>
      <w:r>
        <w:rPr>
          <w:rFonts w:hint="eastAsia" w:ascii="仿宋" w:hAnsi="仿宋" w:eastAsia="仿宋" w:cs="仿宋"/>
          <w:b w:val="0"/>
          <w:bCs/>
          <w:color w:val="auto"/>
          <w:sz w:val="32"/>
          <w:szCs w:val="32"/>
        </w:rPr>
        <w:t>是预算执行过程中部分项目未执行完毕。</w:t>
      </w:r>
    </w:p>
    <w:p w14:paraId="3CA8F8D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（注：本部分支出决算数可取自财决公开05表，年初预算数可取自各</w:t>
      </w:r>
      <w:r>
        <w:rPr>
          <w:rFonts w:hint="eastAsia" w:ascii="仿宋" w:hAnsi="仿宋" w:eastAsia="仿宋" w:cs="仿宋"/>
          <w:color w:val="auto"/>
          <w:sz w:val="32"/>
          <w:szCs w:val="32"/>
          <w:lang w:val="en-US" w:eastAsia="zh-CN"/>
        </w:rPr>
        <w:t>预算</w:t>
      </w:r>
      <w:r>
        <w:rPr>
          <w:rFonts w:hint="eastAsia" w:ascii="仿宋" w:hAnsi="仿宋" w:eastAsia="仿宋" w:cs="仿宋"/>
          <w:color w:val="auto"/>
          <w:sz w:val="32"/>
          <w:szCs w:val="32"/>
        </w:rPr>
        <w:t>部门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单位年初预算大本，根据实际支出涉及的支出功能分类项级科目填列</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6EAB98C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bCs/>
          <w:color w:val="auto"/>
          <w:sz w:val="32"/>
          <w:szCs w:val="32"/>
        </w:rPr>
        <w:t>六、一般公共预算财政拨款基本支出决算情况说明</w:t>
      </w:r>
    </w:p>
    <w:p w14:paraId="330A779A">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rPr>
        <w:t>7,383.57</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rPr>
        <w:t>6,873.71</w:t>
      </w:r>
      <w:r>
        <w:rPr>
          <w:rFonts w:hint="eastAsia" w:ascii="仿宋" w:hAnsi="仿宋" w:eastAsia="仿宋" w:cs="仿宋"/>
          <w:color w:val="auto"/>
          <w:sz w:val="32"/>
          <w:szCs w:val="32"/>
        </w:rPr>
        <w:t>万元，主要包括：工资福利支出中的基本工资、津贴补贴、奖金、伙食补助费、绩效工资、机关事业单位基本养老保险缴费、职业年金缴费、职工基本医疗保险缴费、公务员医疗补助缴费、其他社会保障缴费、住房公积金、医疗费、其他工资福利支出；对个人和家庭的补助中的离休费、退休费、退职（役）费、抚恤金、生活补助、救济费、医疗费补助、助学金、奖励金、个人农业生产补贴、代缴社会保险费、其他对个人和家庭的补助。公用经费</w:t>
      </w:r>
      <w:r>
        <w:rPr>
          <w:rFonts w:hint="eastAsia" w:ascii="仿宋" w:hAnsi="仿宋" w:eastAsia="仿宋" w:cs="仿宋"/>
          <w:color w:val="auto"/>
          <w:sz w:val="32"/>
          <w:szCs w:val="32"/>
          <w:lang w:val="en-US"/>
        </w:rPr>
        <w:t>509.86</w:t>
      </w:r>
      <w:r>
        <w:rPr>
          <w:rFonts w:hint="eastAsia" w:ascii="仿宋" w:hAnsi="仿宋" w:eastAsia="仿宋" w:cs="仿宋"/>
          <w:color w:val="auto"/>
          <w:sz w:val="32"/>
          <w:szCs w:val="32"/>
        </w:rPr>
        <w:t>万元，主要包括：</w:t>
      </w:r>
      <w:r>
        <w:rPr>
          <w:rFonts w:hint="eastAsia" w:ascii="仿宋" w:hAnsi="仿宋" w:eastAsia="仿宋" w:cs="仿宋"/>
          <w:color w:val="auto"/>
          <w:sz w:val="32"/>
          <w:szCs w:val="32"/>
          <w:highlight w:val="none"/>
        </w:rPr>
        <w:t>主要包括：商品和服务支出中的办公费、印刷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债务利息及费用支出中的国内债务付息及国外债务付息；资本性支出中的房屋建筑物</w:t>
      </w:r>
      <w:r>
        <w:rPr>
          <w:rFonts w:hint="eastAsia" w:ascii="仿宋" w:hAnsi="仿宋" w:eastAsia="仿宋" w:cs="仿宋"/>
          <w:color w:val="auto"/>
          <w:sz w:val="32"/>
          <w:szCs w:val="32"/>
          <w:highlight w:val="none"/>
          <w:lang w:eastAsia="zh-CN"/>
        </w:rPr>
        <w:t>购</w:t>
      </w:r>
      <w:r>
        <w:rPr>
          <w:rFonts w:hint="eastAsia" w:ascii="仿宋" w:hAnsi="仿宋" w:eastAsia="仿宋" w:cs="仿宋"/>
          <w:color w:val="auto"/>
          <w:sz w:val="32"/>
          <w:szCs w:val="32"/>
          <w:highlight w:val="none"/>
        </w:rPr>
        <w:t>建、办公设备购置、专用设备购置、基础设施建设、大型修缮、信息网络及软件购置更新、物资储备、土地补偿、安置补助、地上附着物和青苗补偿、拆迁补偿、公务</w:t>
      </w:r>
      <w:r>
        <w:rPr>
          <w:rFonts w:hint="eastAsia" w:ascii="仿宋" w:hAnsi="仿宋" w:eastAsia="仿宋" w:cs="仿宋"/>
          <w:sz w:val="32"/>
          <w:szCs w:val="32"/>
          <w:highlight w:val="none"/>
        </w:rPr>
        <w:t>用车购置、其他交通工具购置、文物和陈列品购置、无形资产购置、其他资本性支出等；其他支出中的赠予、国家赔偿费用支出、对民间非营利组织和群众性自治组织补贴和其他支出。</w:t>
      </w:r>
    </w:p>
    <w:p w14:paraId="6C24DF02">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 w:hAnsi="仿宋" w:eastAsia="仿宋" w:cs="仿宋"/>
          <w:sz w:val="32"/>
          <w:szCs w:val="32"/>
        </w:rPr>
        <w:t>（注：上述</w:t>
      </w:r>
      <w:r>
        <w:rPr>
          <w:rFonts w:hint="eastAsia" w:ascii="仿宋" w:hAnsi="仿宋" w:eastAsia="仿宋" w:cs="仿宋"/>
          <w:sz w:val="32"/>
          <w:szCs w:val="32"/>
          <w:lang w:val="en-US" w:eastAsia="zh-CN"/>
        </w:rPr>
        <w:t>数据</w:t>
      </w:r>
      <w:r>
        <w:rPr>
          <w:rFonts w:hint="eastAsia" w:ascii="仿宋" w:hAnsi="仿宋" w:eastAsia="仿宋" w:cs="仿宋"/>
          <w:sz w:val="32"/>
          <w:szCs w:val="32"/>
        </w:rPr>
        <w:t>可取自财决公开06表，各</w:t>
      </w:r>
      <w:r>
        <w:rPr>
          <w:rFonts w:hint="eastAsia" w:ascii="仿宋" w:hAnsi="仿宋" w:eastAsia="仿宋" w:cs="仿宋"/>
          <w:sz w:val="32"/>
          <w:szCs w:val="32"/>
          <w:lang w:val="en-US" w:eastAsia="zh-CN"/>
        </w:rPr>
        <w:t>预算</w:t>
      </w:r>
      <w:r>
        <w:rPr>
          <w:rFonts w:hint="eastAsia" w:ascii="仿宋" w:hAnsi="仿宋" w:eastAsia="仿宋" w:cs="仿宋"/>
          <w:sz w:val="32"/>
          <w:szCs w:val="32"/>
        </w:rPr>
        <w:t>部门</w:t>
      </w:r>
      <w:r>
        <w:rPr>
          <w:rFonts w:hint="eastAsia" w:ascii="仿宋" w:hAnsi="仿宋" w:eastAsia="仿宋" w:cs="仿宋"/>
          <w:sz w:val="32"/>
          <w:szCs w:val="32"/>
          <w:lang w:eastAsia="zh-CN"/>
        </w:rPr>
        <w:t>、</w:t>
      </w:r>
      <w:r>
        <w:rPr>
          <w:rFonts w:hint="eastAsia" w:ascii="仿宋" w:hAnsi="仿宋" w:eastAsia="仿宋" w:cs="仿宋"/>
          <w:sz w:val="32"/>
          <w:szCs w:val="32"/>
        </w:rPr>
        <w:t>单位根据实际支出情况，选列相应支出经济分类。）</w:t>
      </w:r>
    </w:p>
    <w:p w14:paraId="7241B08A">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14:paraId="643B855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（一）政府性基金预算财政拨款支出决算总体情况</w:t>
      </w:r>
    </w:p>
    <w:p w14:paraId="0E502A0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年度政府性基金预算财政拨款支出</w:t>
      </w:r>
      <w:r>
        <w:rPr>
          <w:rFonts w:hint="eastAsia" w:ascii="仿宋" w:hAnsi="仿宋" w:eastAsia="仿宋" w:cs="仿宋"/>
          <w:color w:val="auto"/>
          <w:sz w:val="32"/>
          <w:szCs w:val="32"/>
          <w:lang w:val="en-US"/>
        </w:rPr>
        <w:t>5.64</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0.05</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年度相比，政府性基金预算财政拨款支出减少</w:t>
      </w:r>
      <w:r>
        <w:rPr>
          <w:rFonts w:hint="eastAsia" w:ascii="仿宋" w:hAnsi="仿宋" w:eastAsia="仿宋" w:cs="仿宋"/>
          <w:color w:val="auto"/>
          <w:sz w:val="32"/>
          <w:szCs w:val="32"/>
          <w:lang w:val="en-US" w:eastAsia="zh-CN"/>
        </w:rPr>
        <w:t>178.72</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96.94</w:t>
      </w:r>
      <w:r>
        <w:rPr>
          <w:rFonts w:hint="eastAsia" w:ascii="仿宋" w:hAnsi="仿宋" w:eastAsia="仿宋" w:cs="仿宋"/>
          <w:color w:val="auto"/>
          <w:sz w:val="32"/>
          <w:szCs w:val="32"/>
        </w:rPr>
        <w:t>%，主要原因是</w:t>
      </w:r>
      <w:r>
        <w:rPr>
          <w:rFonts w:hint="eastAsia" w:ascii="仿宋_GB2312" w:hAnsi="ˎ̥" w:eastAsia="仿宋_GB2312"/>
          <w:color w:val="auto"/>
          <w:sz w:val="32"/>
          <w:szCs w:val="32"/>
          <w:lang w:val="en-US" w:eastAsia="zh-CN"/>
        </w:rPr>
        <w:t>江东校区食堂楼维修改造项目资金上年结转数</w:t>
      </w:r>
      <w:r>
        <w:rPr>
          <w:rFonts w:hint="eastAsia" w:ascii="仿宋" w:hAnsi="仿宋" w:eastAsia="仿宋" w:cs="仿宋"/>
          <w:color w:val="auto"/>
          <w:sz w:val="32"/>
          <w:szCs w:val="32"/>
        </w:rPr>
        <w:t>。</w:t>
      </w:r>
    </w:p>
    <w:p w14:paraId="06BD91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（二）政府性基金预算财政拨款支出决算结构情况</w:t>
      </w:r>
    </w:p>
    <w:p w14:paraId="73FC1B1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default" w:ascii="仿宋_GB2312" w:hAnsi="ˎ̥" w:eastAsia="仿宋_GB2312"/>
          <w:color w:val="auto"/>
          <w:sz w:val="32"/>
          <w:szCs w:val="32"/>
          <w:lang w:val="en-US"/>
        </w:rPr>
        <w:t>202</w:t>
      </w:r>
      <w:r>
        <w:rPr>
          <w:rFonts w:hint="eastAsia" w:ascii="仿宋_GB2312" w:hAnsi="ˎ̥" w:eastAsia="仿宋_GB2312"/>
          <w:color w:val="auto"/>
          <w:sz w:val="32"/>
          <w:szCs w:val="32"/>
          <w:lang w:val="en-US" w:eastAsia="zh-CN"/>
        </w:rPr>
        <w:t>5</w:t>
      </w:r>
      <w:r>
        <w:rPr>
          <w:rFonts w:hint="eastAsia" w:ascii="仿宋_GB2312" w:hAnsi="ˎ̥" w:eastAsia="仿宋_GB2312"/>
          <w:color w:val="auto"/>
          <w:sz w:val="32"/>
          <w:szCs w:val="32"/>
        </w:rPr>
        <w:t>年度政府性基金预算财政拨款支出</w:t>
      </w:r>
      <w:r>
        <w:rPr>
          <w:rFonts w:hint="eastAsia" w:ascii="仿宋_GB2312" w:hAnsi="ˎ̥" w:eastAsia="仿宋_GB2312"/>
          <w:color w:val="auto"/>
          <w:sz w:val="32"/>
          <w:szCs w:val="32"/>
          <w:lang w:val="en-US" w:eastAsia="zh-CN"/>
        </w:rPr>
        <w:t>5.64</w:t>
      </w:r>
      <w:r>
        <w:rPr>
          <w:rFonts w:hint="eastAsia" w:ascii="仿宋_GB2312" w:hAnsi="ˎ̥" w:eastAsia="仿宋_GB2312"/>
          <w:color w:val="auto"/>
          <w:sz w:val="32"/>
          <w:szCs w:val="32"/>
        </w:rPr>
        <w:t>万元，主要用于以下方面：</w:t>
      </w:r>
      <w:r>
        <w:rPr>
          <w:rFonts w:hint="default" w:ascii="仿宋_GB2312" w:hAnsi="ˎ̥" w:eastAsia="仿宋_GB2312"/>
          <w:color w:val="auto"/>
          <w:sz w:val="32"/>
          <w:szCs w:val="32"/>
          <w:lang w:val="en-US"/>
        </w:rPr>
        <w:t>其他支出</w:t>
      </w:r>
      <w:r>
        <w:rPr>
          <w:rFonts w:hint="eastAsia" w:ascii="仿宋_GB2312" w:hAnsi="ˎ̥" w:eastAsia="仿宋_GB2312"/>
          <w:color w:val="auto"/>
          <w:sz w:val="32"/>
          <w:szCs w:val="32"/>
        </w:rPr>
        <w:t>（类）支出</w:t>
      </w:r>
      <w:r>
        <w:rPr>
          <w:rFonts w:hint="eastAsia" w:ascii="仿宋_GB2312" w:hAnsi="ˎ̥" w:eastAsia="仿宋_GB2312"/>
          <w:color w:val="auto"/>
          <w:sz w:val="32"/>
          <w:szCs w:val="32"/>
          <w:lang w:val="en-US" w:eastAsia="zh-CN"/>
        </w:rPr>
        <w:t>5.64</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2AA5798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（三）政府性基金预算财政拨款支出决算具体情况</w:t>
      </w:r>
    </w:p>
    <w:p w14:paraId="184DD07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年度政府性基金预算财政拨款支出年初预算为</w:t>
      </w:r>
      <w:r>
        <w:rPr>
          <w:rFonts w:hint="eastAsia" w:ascii="仿宋" w:hAnsi="仿宋" w:eastAsia="仿宋" w:cs="仿宋"/>
          <w:color w:val="auto"/>
          <w:sz w:val="32"/>
          <w:szCs w:val="32"/>
          <w:lang w:val="en-US" w:eastAsia="zh-CN"/>
        </w:rPr>
        <w:t>5.64</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5.64</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%。其中：</w:t>
      </w:r>
    </w:p>
    <w:p w14:paraId="24CB4D0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1.</w:t>
      </w:r>
      <w:r>
        <w:rPr>
          <w:rFonts w:hint="default" w:ascii="仿宋_GB2312" w:hAnsi="ˎ̥" w:eastAsia="仿宋_GB2312"/>
          <w:color w:val="auto"/>
          <w:sz w:val="32"/>
          <w:szCs w:val="32"/>
          <w:lang w:val="en-US"/>
        </w:rPr>
        <w:t>其他支出</w:t>
      </w:r>
      <w:r>
        <w:rPr>
          <w:rFonts w:hint="eastAsia" w:ascii="仿宋_GB2312" w:hAnsi="ˎ̥" w:eastAsia="仿宋_GB2312"/>
          <w:color w:val="auto"/>
          <w:sz w:val="32"/>
          <w:szCs w:val="32"/>
        </w:rPr>
        <w:t>（类）</w:t>
      </w:r>
      <w:r>
        <w:rPr>
          <w:rFonts w:hint="default" w:ascii="仿宋_GB2312" w:hAnsi="ˎ̥" w:eastAsia="仿宋_GB2312"/>
          <w:color w:val="auto"/>
          <w:sz w:val="32"/>
          <w:szCs w:val="32"/>
          <w:lang w:val="en-US"/>
        </w:rPr>
        <w:t>超长期特别国债安排的其他支出</w:t>
      </w:r>
      <w:r>
        <w:rPr>
          <w:rFonts w:hint="eastAsia" w:ascii="仿宋_GB2312" w:hAnsi="ˎ̥" w:eastAsia="仿宋_GB2312"/>
          <w:color w:val="auto"/>
          <w:sz w:val="32"/>
          <w:szCs w:val="32"/>
        </w:rPr>
        <w:t>（款）</w:t>
      </w:r>
      <w:r>
        <w:rPr>
          <w:rFonts w:hint="default" w:ascii="仿宋_GB2312" w:hAnsi="ˎ̥" w:eastAsia="仿宋_GB2312"/>
          <w:color w:val="auto"/>
          <w:sz w:val="32"/>
          <w:szCs w:val="32"/>
          <w:lang w:val="en-US"/>
        </w:rPr>
        <w:t>其他支出</w:t>
      </w:r>
      <w:r>
        <w:rPr>
          <w:rFonts w:hint="eastAsia" w:ascii="仿宋_GB2312" w:hAnsi="ˎ̥" w:eastAsia="仿宋_GB2312"/>
          <w:color w:val="auto"/>
          <w:sz w:val="32"/>
          <w:szCs w:val="32"/>
        </w:rPr>
        <w:t>（项）。</w:t>
      </w:r>
    </w:p>
    <w:p w14:paraId="51B0F6C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5.64</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5,64</w:t>
      </w:r>
      <w:r>
        <w:rPr>
          <w:rFonts w:hint="eastAsia" w:ascii="仿宋_GB2312" w:hAnsi="ˎ̥" w:eastAsia="仿宋_GB2312"/>
          <w:color w:val="auto"/>
          <w:sz w:val="32"/>
          <w:szCs w:val="32"/>
        </w:rPr>
        <w:t>万元。决算数</w:t>
      </w:r>
      <w:r>
        <w:rPr>
          <w:rFonts w:hint="eastAsia" w:ascii="仿宋_GB2312" w:hAnsi="ˎ̥" w:eastAsia="仿宋_GB2312"/>
          <w:color w:val="auto"/>
          <w:sz w:val="32"/>
          <w:szCs w:val="32"/>
          <w:lang w:val="en-US" w:eastAsia="zh-CN"/>
        </w:rPr>
        <w:t>与</w:t>
      </w:r>
      <w:r>
        <w:rPr>
          <w:rFonts w:hint="eastAsia" w:ascii="仿宋_GB2312" w:hAnsi="ˎ̥" w:eastAsia="仿宋_GB2312"/>
          <w:color w:val="auto"/>
          <w:sz w:val="32"/>
          <w:szCs w:val="32"/>
        </w:rPr>
        <w:t>预算数</w:t>
      </w:r>
      <w:r>
        <w:rPr>
          <w:rFonts w:hint="eastAsia" w:ascii="仿宋_GB2312" w:hAnsi="ˎ̥" w:eastAsia="仿宋_GB2312"/>
          <w:color w:val="auto"/>
          <w:sz w:val="32"/>
          <w:szCs w:val="32"/>
          <w:lang w:val="en-US" w:eastAsia="zh-CN"/>
        </w:rPr>
        <w:t>持平。</w:t>
      </w:r>
    </w:p>
    <w:p w14:paraId="5E2A6D6E">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（注：根据各</w:t>
      </w:r>
      <w:r>
        <w:rPr>
          <w:rFonts w:hint="eastAsia" w:ascii="仿宋" w:hAnsi="仿宋" w:eastAsia="仿宋" w:cs="仿宋"/>
          <w:color w:val="auto"/>
          <w:sz w:val="32"/>
          <w:szCs w:val="32"/>
          <w:lang w:val="en-US" w:eastAsia="zh-CN"/>
        </w:rPr>
        <w:t>预算</w:t>
      </w:r>
      <w:r>
        <w:rPr>
          <w:rFonts w:hint="eastAsia" w:ascii="仿宋" w:hAnsi="仿宋" w:eastAsia="仿宋" w:cs="仿宋"/>
          <w:color w:val="auto"/>
          <w:sz w:val="32"/>
          <w:szCs w:val="32"/>
        </w:rPr>
        <w:t>部门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单位实际支出涉及的支出功能分类项级科目填列，本部分</w:t>
      </w: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度</w:t>
      </w:r>
      <w:r>
        <w:rPr>
          <w:rFonts w:hint="eastAsia" w:ascii="仿宋" w:hAnsi="仿宋" w:eastAsia="仿宋" w:cs="仿宋"/>
          <w:color w:val="auto"/>
          <w:sz w:val="32"/>
          <w:szCs w:val="32"/>
        </w:rPr>
        <w:t>决算相关数据取自财决公开07表；</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度</w:t>
      </w:r>
      <w:r>
        <w:rPr>
          <w:rFonts w:hint="eastAsia" w:ascii="仿宋" w:hAnsi="仿宋" w:eastAsia="仿宋" w:cs="仿宋"/>
          <w:color w:val="auto"/>
          <w:sz w:val="32"/>
          <w:szCs w:val="32"/>
        </w:rPr>
        <w:t>决算相关数据取自</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lang w:val="en-US" w:eastAsia="zh-CN"/>
        </w:rPr>
        <w:t>年度部门决算报表</w:t>
      </w:r>
      <w:r>
        <w:rPr>
          <w:rFonts w:hint="eastAsia" w:ascii="仿宋" w:hAnsi="仿宋" w:eastAsia="仿宋" w:cs="仿宋"/>
          <w:color w:val="auto"/>
          <w:sz w:val="32"/>
          <w:szCs w:val="32"/>
        </w:rPr>
        <w:t>财决09表《政府性基金预算财政拨款收入支出决算表》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101E92BC">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八、国有资本经营预算财政拨款支出决算情况说明</w:t>
      </w:r>
    </w:p>
    <w:p w14:paraId="04CBEF7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（一）国有资本经营预算财政拨款支出决算总体情况</w:t>
      </w:r>
    </w:p>
    <w:p w14:paraId="0602B7D7">
      <w:pPr>
        <w:keepNext w:val="0"/>
        <w:keepLines w:val="0"/>
        <w:pageBreakBefore w:val="0"/>
        <w:widowControl/>
        <w:kinsoku/>
        <w:wordWrap/>
        <w:overflowPunct/>
        <w:topLinePunct w:val="0"/>
        <w:autoSpaceDE/>
        <w:bidi w:val="0"/>
        <w:adjustRightInd/>
        <w:snapToGrid/>
        <w:spacing w:after="100" w:afterAutospacing="1"/>
        <w:ind w:firstLine="640" w:firstLineChars="200"/>
        <w:rPr>
          <w:rFonts w:ascii="仿宋_GB2312" w:hAnsi="ˎ̥" w:eastAsia="仿宋_GB2312" w:cs="仿宋_GB2312"/>
          <w:color w:val="auto"/>
          <w:sz w:val="32"/>
          <w:szCs w:val="32"/>
          <w:shd w:val="clear" w:color="auto" w:fill="FFFFFF"/>
        </w:rPr>
      </w:pPr>
      <w:r>
        <w:rPr>
          <w:rFonts w:ascii="仿宋_GB2312" w:hAnsi="ˎ̥" w:eastAsia="仿宋_GB2312" w:cs="仿宋_GB2312"/>
          <w:color w:val="auto"/>
          <w:sz w:val="32"/>
          <w:szCs w:val="32"/>
          <w:shd w:val="clear" w:color="auto" w:fill="FFFFFF"/>
        </w:rPr>
        <w:t>202</w:t>
      </w:r>
      <w:r>
        <w:rPr>
          <w:rFonts w:hint="eastAsia" w:ascii="仿宋_GB2312" w:hAnsi="ˎ̥" w:eastAsia="仿宋_GB2312" w:cs="仿宋_GB2312"/>
          <w:color w:val="auto"/>
          <w:sz w:val="32"/>
          <w:szCs w:val="32"/>
          <w:shd w:val="clear" w:color="auto" w:fill="FFFFFF"/>
          <w:lang w:val="en-US" w:eastAsia="zh-CN"/>
        </w:rPr>
        <w:t>5</w:t>
      </w:r>
      <w:r>
        <w:rPr>
          <w:rFonts w:ascii="仿宋_GB2312" w:hAnsi="ˎ̥" w:eastAsia="仿宋_GB2312" w:cs="仿宋_GB2312"/>
          <w:color w:val="auto"/>
          <w:sz w:val="32"/>
          <w:szCs w:val="32"/>
          <w:shd w:val="clear" w:color="auto" w:fill="FFFFFF"/>
        </w:rPr>
        <w:t>年度国有资本经营预算财政拨款支出</w:t>
      </w:r>
      <w:r>
        <w:rPr>
          <w:rFonts w:ascii="仿宋_GB2312" w:eastAsia="仿宋_GB2312" w:cs="仿宋_GB2312"/>
          <w:color w:val="auto"/>
          <w:sz w:val="32"/>
          <w:szCs w:val="32"/>
          <w:shd w:val="clear" w:color="auto" w:fill="FFFFFF"/>
        </w:rPr>
        <w:t>0.00</w:t>
      </w:r>
      <w:r>
        <w:rPr>
          <w:rFonts w:ascii="仿宋_GB2312" w:hAnsi="ˎ̥" w:eastAsia="仿宋_GB2312" w:cs="仿宋_GB2312"/>
          <w:color w:val="auto"/>
          <w:sz w:val="32"/>
          <w:szCs w:val="32"/>
          <w:shd w:val="clear" w:color="auto" w:fill="FFFFFF"/>
        </w:rPr>
        <w:t>万元。</w:t>
      </w:r>
    </w:p>
    <w:p w14:paraId="565739A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（二）国有资本经营预算财政拨款支出决算结构情况</w:t>
      </w:r>
    </w:p>
    <w:p w14:paraId="13BA22C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s="仿宋_GB2312"/>
          <w:color w:val="auto"/>
          <w:sz w:val="32"/>
          <w:szCs w:val="32"/>
          <w:shd w:val="clear" w:color="auto" w:fill="FFFFFF"/>
        </w:rPr>
      </w:pPr>
      <w:r>
        <w:rPr>
          <w:rFonts w:ascii="仿宋_GB2312" w:hAnsi="ˎ̥" w:eastAsia="仿宋_GB2312" w:cs="仿宋_GB2312"/>
          <w:color w:val="auto"/>
          <w:sz w:val="32"/>
          <w:szCs w:val="32"/>
          <w:shd w:val="clear" w:color="auto" w:fill="FFFFFF"/>
        </w:rPr>
        <w:t>202</w:t>
      </w:r>
      <w:r>
        <w:rPr>
          <w:rFonts w:hint="eastAsia" w:ascii="仿宋_GB2312" w:hAnsi="ˎ̥" w:eastAsia="仿宋_GB2312" w:cs="仿宋_GB2312"/>
          <w:color w:val="auto"/>
          <w:sz w:val="32"/>
          <w:szCs w:val="32"/>
          <w:shd w:val="clear" w:color="auto" w:fill="FFFFFF"/>
          <w:lang w:val="en-US" w:eastAsia="zh-CN"/>
        </w:rPr>
        <w:t>5</w:t>
      </w:r>
      <w:r>
        <w:rPr>
          <w:rFonts w:ascii="仿宋_GB2312" w:hAnsi="ˎ̥" w:eastAsia="仿宋_GB2312" w:cs="仿宋_GB2312"/>
          <w:color w:val="auto"/>
          <w:sz w:val="32"/>
          <w:szCs w:val="32"/>
          <w:shd w:val="clear" w:color="auto" w:fill="FFFFFF"/>
        </w:rPr>
        <w:t>年度国有资本经营预算财政拨款支出</w:t>
      </w:r>
      <w:r>
        <w:rPr>
          <w:rFonts w:ascii="仿宋_GB2312" w:eastAsia="仿宋_GB2312" w:cs="仿宋_GB2312"/>
          <w:color w:val="auto"/>
          <w:sz w:val="32"/>
          <w:szCs w:val="32"/>
          <w:shd w:val="clear" w:color="auto" w:fill="FFFFFF"/>
        </w:rPr>
        <w:t>0.00</w:t>
      </w:r>
      <w:r>
        <w:rPr>
          <w:rFonts w:ascii="仿宋_GB2312" w:hAnsi="ˎ̥" w:eastAsia="仿宋_GB2312" w:cs="仿宋_GB2312"/>
          <w:color w:val="auto"/>
          <w:sz w:val="32"/>
          <w:szCs w:val="32"/>
          <w:shd w:val="clear" w:color="auto" w:fill="FFFFFF"/>
        </w:rPr>
        <w:t>万元。</w:t>
      </w:r>
    </w:p>
    <w:p w14:paraId="6DA2D67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（三）国有资本经营预算财政拨款支出决算具体情况</w:t>
      </w:r>
    </w:p>
    <w:p w14:paraId="54A21A85">
      <w:pPr>
        <w:keepNext w:val="0"/>
        <w:keepLines w:val="0"/>
        <w:pageBreakBefore w:val="0"/>
        <w:widowControl/>
        <w:kinsoku/>
        <w:wordWrap/>
        <w:overflowPunct/>
        <w:topLinePunct w:val="0"/>
        <w:autoSpaceDE/>
        <w:bidi w:val="0"/>
        <w:adjustRightInd/>
        <w:snapToGrid/>
        <w:spacing w:after="100" w:afterAutospacing="1"/>
        <w:ind w:firstLine="640" w:firstLineChars="200"/>
        <w:rPr>
          <w:rFonts w:ascii="仿宋_GB2312" w:hAnsi="ˎ̥" w:eastAsia="仿宋_GB2312" w:cs="仿宋_GB2312"/>
          <w:b/>
          <w:color w:val="auto"/>
          <w:sz w:val="32"/>
          <w:szCs w:val="32"/>
          <w:shd w:val="clear" w:color="auto" w:fill="FFFFFF"/>
        </w:rPr>
      </w:pPr>
      <w:r>
        <w:rPr>
          <w:rFonts w:ascii="仿宋_GB2312" w:hAnsi="ˎ̥" w:eastAsia="仿宋_GB2312" w:cs="仿宋_GB2312"/>
          <w:color w:val="auto"/>
          <w:sz w:val="32"/>
          <w:szCs w:val="32"/>
          <w:shd w:val="clear" w:color="auto" w:fill="FFFFFF"/>
        </w:rPr>
        <w:t>20</w:t>
      </w:r>
      <w:r>
        <w:rPr>
          <w:rFonts w:hint="eastAsia" w:ascii="仿宋_GB2312" w:hAnsi="ˎ̥" w:eastAsia="仿宋_GB2312" w:cs="仿宋_GB2312"/>
          <w:color w:val="auto"/>
          <w:sz w:val="32"/>
          <w:szCs w:val="32"/>
          <w:shd w:val="clear" w:color="auto" w:fill="FFFFFF"/>
        </w:rPr>
        <w:t>2</w:t>
      </w:r>
      <w:r>
        <w:rPr>
          <w:rFonts w:hint="eastAsia" w:ascii="仿宋_GB2312" w:hAnsi="ˎ̥" w:eastAsia="仿宋_GB2312" w:cs="仿宋_GB2312"/>
          <w:color w:val="auto"/>
          <w:sz w:val="32"/>
          <w:szCs w:val="32"/>
          <w:shd w:val="clear" w:color="auto" w:fill="FFFFFF"/>
          <w:lang w:val="en-US" w:eastAsia="zh-CN"/>
        </w:rPr>
        <w:t>5</w:t>
      </w:r>
      <w:r>
        <w:rPr>
          <w:rFonts w:ascii="仿宋_GB2312" w:hAnsi="ˎ̥" w:eastAsia="仿宋_GB2312" w:cs="仿宋_GB2312"/>
          <w:color w:val="auto"/>
          <w:sz w:val="32"/>
          <w:szCs w:val="32"/>
          <w:shd w:val="clear" w:color="auto" w:fill="FFFFFF"/>
        </w:rPr>
        <w:t>年度国有资本经营预算财政拨款支出年初预算为</w:t>
      </w:r>
      <w:r>
        <w:rPr>
          <w:rFonts w:hint="eastAsia" w:ascii="仿宋_GB2312" w:hAnsi="ˎ̥" w:eastAsia="仿宋_GB2312" w:cs="仿宋_GB2312"/>
          <w:color w:val="auto"/>
          <w:sz w:val="32"/>
          <w:szCs w:val="32"/>
          <w:shd w:val="clear" w:color="auto" w:fill="FFFFFF"/>
        </w:rPr>
        <w:t>0.00</w:t>
      </w:r>
      <w:r>
        <w:rPr>
          <w:rFonts w:ascii="仿宋_GB2312" w:hAnsi="ˎ̥" w:eastAsia="仿宋_GB2312" w:cs="仿宋_GB2312"/>
          <w:color w:val="auto"/>
          <w:sz w:val="32"/>
          <w:szCs w:val="32"/>
          <w:shd w:val="clear" w:color="auto" w:fill="FFFFFF"/>
        </w:rPr>
        <w:t>万元，支出决算</w:t>
      </w:r>
      <w:r>
        <w:rPr>
          <w:rFonts w:ascii="仿宋_GB2312" w:eastAsia="仿宋_GB2312" w:cs="仿宋_GB2312"/>
          <w:color w:val="auto"/>
          <w:sz w:val="32"/>
          <w:szCs w:val="32"/>
          <w:shd w:val="clear" w:color="auto" w:fill="FFFFFF"/>
        </w:rPr>
        <w:t>为0.00</w:t>
      </w:r>
      <w:r>
        <w:rPr>
          <w:rFonts w:ascii="仿宋_GB2312" w:hAnsi="ˎ̥" w:eastAsia="仿宋_GB2312" w:cs="仿宋_GB2312"/>
          <w:color w:val="auto"/>
          <w:sz w:val="32"/>
          <w:szCs w:val="32"/>
          <w:shd w:val="clear" w:color="auto" w:fill="FFFFFF"/>
        </w:rPr>
        <w:t>万元。</w:t>
      </w:r>
    </w:p>
    <w:p w14:paraId="1B28ACB1">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（注：根据各</w:t>
      </w:r>
      <w:r>
        <w:rPr>
          <w:rFonts w:hint="eastAsia" w:ascii="仿宋" w:hAnsi="仿宋" w:eastAsia="仿宋" w:cs="仿宋"/>
          <w:color w:val="auto"/>
          <w:sz w:val="32"/>
          <w:szCs w:val="32"/>
          <w:lang w:val="en-US" w:eastAsia="zh-CN"/>
        </w:rPr>
        <w:t>预算</w:t>
      </w:r>
      <w:r>
        <w:rPr>
          <w:rFonts w:hint="eastAsia" w:ascii="仿宋" w:hAnsi="仿宋" w:eastAsia="仿宋" w:cs="仿宋"/>
          <w:color w:val="auto"/>
          <w:sz w:val="32"/>
          <w:szCs w:val="32"/>
        </w:rPr>
        <w:t>部门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单位实际支出涉及的支出功能分类项级科目填列，本部分</w:t>
      </w: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度</w:t>
      </w:r>
      <w:r>
        <w:rPr>
          <w:rFonts w:hint="eastAsia" w:ascii="仿宋" w:hAnsi="仿宋" w:eastAsia="仿宋" w:cs="仿宋"/>
          <w:color w:val="auto"/>
          <w:sz w:val="32"/>
          <w:szCs w:val="32"/>
        </w:rPr>
        <w:t>决算相关数据取自财决公开08表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5834EC2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楷体_GB2312"/>
          <w:color w:val="auto"/>
          <w:sz w:val="32"/>
          <w:szCs w:val="32"/>
        </w:rPr>
      </w:pPr>
      <w:r>
        <w:rPr>
          <w:rFonts w:hint="eastAsia" w:ascii="黑体" w:hAnsi="黑体" w:eastAsia="黑体" w:cs="黑体"/>
          <w:bCs/>
          <w:color w:val="auto"/>
          <w:sz w:val="32"/>
          <w:szCs w:val="32"/>
        </w:rPr>
        <w:t>九、财政拨款“三公”经费支出决算情况说明</w:t>
      </w:r>
    </w:p>
    <w:p w14:paraId="18F9E7F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（一）财政拨款“三公”经费支出决算总体情况说明</w:t>
      </w:r>
    </w:p>
    <w:p w14:paraId="5654B1D0">
      <w:pPr>
        <w:keepNext w:val="0"/>
        <w:keepLines w:val="0"/>
        <w:pageBreakBefore w:val="0"/>
        <w:widowControl/>
        <w:kinsoku/>
        <w:wordWrap/>
        <w:overflowPunct/>
        <w:topLinePunct w:val="0"/>
        <w:autoSpaceDE/>
        <w:bidi w:val="0"/>
        <w:adjustRightInd/>
        <w:snapToGrid/>
        <w:spacing w:line="578" w:lineRule="exact"/>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rPr>
        <w:t xml:space="preserve">  202</w:t>
      </w:r>
      <w:r>
        <w:rPr>
          <w:rFonts w:hint="eastAsia" w:ascii="仿宋_GB2312" w:hAnsi="ˎ̥" w:eastAsia="仿宋_GB2312"/>
          <w:color w:val="auto"/>
          <w:sz w:val="32"/>
          <w:szCs w:val="32"/>
          <w:lang w:val="en-US" w:eastAsia="zh-CN"/>
        </w:rPr>
        <w:t>5</w:t>
      </w:r>
      <w:r>
        <w:rPr>
          <w:rFonts w:hint="eastAsia" w:ascii="仿宋_GB2312" w:hAnsi="ˎ̥" w:eastAsia="仿宋_GB2312"/>
          <w:color w:val="auto"/>
          <w:sz w:val="32"/>
          <w:szCs w:val="32"/>
        </w:rPr>
        <w:t>年度财政拨款“三公”经费支出预算为</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万元，支出决算为</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w:t>
      </w:r>
    </w:p>
    <w:p w14:paraId="0787B1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（二）财政拨款“三公”经费支出决算具体情况说明</w:t>
      </w:r>
    </w:p>
    <w:p w14:paraId="38D4B32D">
      <w:pPr>
        <w:keepNext w:val="0"/>
        <w:keepLines w:val="0"/>
        <w:pageBreakBefore w:val="0"/>
        <w:widowControl/>
        <w:kinsoku/>
        <w:wordWrap/>
        <w:overflowPunct/>
        <w:topLinePunct w:val="0"/>
        <w:autoSpaceDE/>
        <w:bidi w:val="0"/>
        <w:adjustRightInd/>
        <w:snapToGrid/>
        <w:spacing w:line="578" w:lineRule="exact"/>
        <w:ind w:firstLine="960" w:firstLineChars="300"/>
        <w:rPr>
          <w:rFonts w:hint="eastAsia" w:ascii="仿宋_GB2312" w:hAnsi="ˎ̥" w:eastAsia="仿宋_GB2312"/>
          <w:color w:val="auto"/>
          <w:sz w:val="32"/>
          <w:szCs w:val="32"/>
        </w:rPr>
      </w:pPr>
      <w:r>
        <w:rPr>
          <w:rFonts w:hint="eastAsia" w:ascii="仿宋_GB2312" w:hAnsi="ˎ̥" w:eastAsia="仿宋_GB2312"/>
          <w:color w:val="auto"/>
          <w:sz w:val="32"/>
          <w:szCs w:val="32"/>
        </w:rPr>
        <w:t>202</w:t>
      </w:r>
      <w:r>
        <w:rPr>
          <w:rFonts w:hint="eastAsia" w:ascii="仿宋_GB2312" w:hAnsi="ˎ̥" w:eastAsia="仿宋_GB2312"/>
          <w:color w:val="auto"/>
          <w:sz w:val="32"/>
          <w:szCs w:val="32"/>
          <w:lang w:val="en-US" w:eastAsia="zh-CN"/>
        </w:rPr>
        <w:t>5</w:t>
      </w:r>
      <w:r>
        <w:rPr>
          <w:rFonts w:hint="eastAsia" w:ascii="仿宋_GB2312" w:hAnsi="ˎ̥" w:eastAsia="仿宋_GB2312"/>
          <w:color w:val="auto"/>
          <w:sz w:val="32"/>
          <w:szCs w:val="32"/>
        </w:rPr>
        <w:t>年度财政拨款“三公”经费支出决算中，因公出国（境）费支出决算</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万元；公务用车购置及运行维护费支出决算</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万元；公务接待费支出决算</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具体情况如下：</w:t>
      </w:r>
    </w:p>
    <w:p w14:paraId="546C297B">
      <w:pPr>
        <w:keepNext w:val="0"/>
        <w:keepLines w:val="0"/>
        <w:pageBreakBefore w:val="0"/>
        <w:widowControl/>
        <w:kinsoku/>
        <w:wordWrap/>
        <w:overflowPunct/>
        <w:topLinePunct w:val="0"/>
        <w:autoSpaceDE/>
        <w:bidi w:val="0"/>
        <w:adjustRightInd/>
        <w:snapToGrid/>
        <w:spacing w:line="578" w:lineRule="exact"/>
        <w:ind w:firstLine="643" w:firstLineChars="200"/>
        <w:rPr>
          <w:rFonts w:hint="eastAsia" w:ascii="仿宋_GB2312" w:hAnsi="ˎ̥" w:eastAsia="仿宋_GB2312"/>
          <w:color w:val="auto"/>
          <w:sz w:val="32"/>
          <w:szCs w:val="32"/>
          <w:lang w:val="en-US" w:eastAsia="zh-CN"/>
        </w:rPr>
      </w:pPr>
      <w:r>
        <w:rPr>
          <w:rFonts w:hint="eastAsia" w:ascii="仿宋_GB2312" w:hAnsi="ˎ̥" w:eastAsia="仿宋_GB2312"/>
          <w:b/>
          <w:color w:val="auto"/>
          <w:sz w:val="32"/>
          <w:szCs w:val="32"/>
        </w:rPr>
        <w:t>1.因公出国（境）费</w:t>
      </w:r>
      <w:r>
        <w:rPr>
          <w:rFonts w:hint="eastAsia" w:ascii="仿宋_GB2312" w:hAnsi="ˎ̥" w:eastAsia="仿宋_GB2312"/>
          <w:color w:val="auto"/>
          <w:sz w:val="32"/>
          <w:szCs w:val="32"/>
        </w:rPr>
        <w:t>支出</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万元。全年安排因公出国（境）团组</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个，因公出国（境）</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人次。</w:t>
      </w:r>
    </w:p>
    <w:p w14:paraId="3C4EDE72">
      <w:pPr>
        <w:keepNext w:val="0"/>
        <w:keepLines w:val="0"/>
        <w:pageBreakBefore w:val="0"/>
        <w:widowControl/>
        <w:kinsoku/>
        <w:wordWrap/>
        <w:overflowPunct/>
        <w:topLinePunct w:val="0"/>
        <w:autoSpaceDE/>
        <w:bidi w:val="0"/>
        <w:adjustRightInd/>
        <w:snapToGrid/>
        <w:spacing w:line="578" w:lineRule="exact"/>
        <w:ind w:firstLine="643" w:firstLineChars="200"/>
        <w:rPr>
          <w:rFonts w:hint="eastAsia" w:ascii="仿宋_GB2312" w:hAnsi="ˎ̥" w:eastAsia="仿宋_GB2312"/>
          <w:color w:val="auto"/>
          <w:sz w:val="32"/>
          <w:szCs w:val="32"/>
        </w:rPr>
      </w:pPr>
      <w:r>
        <w:rPr>
          <w:rFonts w:hint="eastAsia" w:ascii="仿宋_GB2312" w:hAnsi="ˎ̥" w:eastAsia="仿宋_GB2312"/>
          <w:b/>
          <w:color w:val="auto"/>
          <w:sz w:val="32"/>
          <w:szCs w:val="32"/>
        </w:rPr>
        <w:t>2.公务用车购置及运行维护费支出</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万元。其中：</w:t>
      </w:r>
    </w:p>
    <w:p w14:paraId="6E320486">
      <w:pPr>
        <w:keepNext w:val="0"/>
        <w:keepLines w:val="0"/>
        <w:pageBreakBefore w:val="0"/>
        <w:widowControl/>
        <w:kinsoku/>
        <w:wordWrap/>
        <w:overflowPunct/>
        <w:topLinePunct w:val="0"/>
        <w:autoSpaceDE/>
        <w:bidi w:val="0"/>
        <w:adjustRightInd/>
        <w:snapToGrid/>
        <w:spacing w:line="578" w:lineRule="exact"/>
        <w:ind w:firstLine="643" w:firstLineChars="200"/>
        <w:rPr>
          <w:rFonts w:hint="eastAsia" w:ascii="仿宋_GB2312" w:hAnsi="ˎ̥" w:eastAsia="仿宋_GB2312"/>
          <w:color w:val="auto"/>
          <w:sz w:val="32"/>
          <w:szCs w:val="32"/>
        </w:rPr>
      </w:pPr>
      <w:r>
        <w:rPr>
          <w:rFonts w:hint="eastAsia" w:ascii="仿宋_GB2312" w:hAnsi="ˎ̥" w:eastAsia="仿宋_GB2312"/>
          <w:b/>
          <w:color w:val="auto"/>
          <w:sz w:val="32"/>
          <w:szCs w:val="32"/>
        </w:rPr>
        <w:t>公务用车购置支出</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万元，全年购置公务用车</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辆，年末公务用车保有量</w:t>
      </w:r>
      <w:r>
        <w:rPr>
          <w:rFonts w:hint="eastAsia" w:ascii="仿宋_GB2312" w:hAnsi="ˎ̥" w:eastAsia="仿宋_GB2312"/>
          <w:color w:val="auto"/>
          <w:sz w:val="32"/>
          <w:szCs w:val="32"/>
          <w:lang w:val="en-US" w:eastAsia="zh-CN"/>
        </w:rPr>
        <w:t>2</w:t>
      </w:r>
      <w:r>
        <w:rPr>
          <w:rFonts w:hint="eastAsia" w:ascii="仿宋_GB2312" w:hAnsi="ˎ̥" w:eastAsia="仿宋_GB2312"/>
          <w:color w:val="auto"/>
          <w:sz w:val="32"/>
          <w:szCs w:val="32"/>
        </w:rPr>
        <w:t>辆。</w:t>
      </w:r>
    </w:p>
    <w:p w14:paraId="3562E761">
      <w:pPr>
        <w:keepNext w:val="0"/>
        <w:keepLines w:val="0"/>
        <w:pageBreakBefore w:val="0"/>
        <w:widowControl/>
        <w:kinsoku/>
        <w:wordWrap/>
        <w:overflowPunct/>
        <w:topLinePunct w:val="0"/>
        <w:autoSpaceDE/>
        <w:bidi w:val="0"/>
        <w:adjustRightInd/>
        <w:snapToGrid/>
        <w:spacing w:line="578" w:lineRule="exact"/>
        <w:ind w:firstLine="643" w:firstLineChars="200"/>
        <w:rPr>
          <w:rFonts w:hint="eastAsia" w:ascii="仿宋_GB2312" w:hAnsi="ˎ̥" w:eastAsia="仿宋_GB2312"/>
          <w:color w:val="auto"/>
          <w:sz w:val="32"/>
          <w:szCs w:val="32"/>
        </w:rPr>
      </w:pPr>
      <w:r>
        <w:rPr>
          <w:rFonts w:hint="eastAsia" w:ascii="仿宋_GB2312" w:hAnsi="ˎ̥" w:eastAsia="仿宋_GB2312"/>
          <w:b/>
          <w:color w:val="auto"/>
          <w:sz w:val="32"/>
          <w:szCs w:val="32"/>
        </w:rPr>
        <w:t>公务用车运行维护费</w:t>
      </w:r>
      <w:r>
        <w:rPr>
          <w:rFonts w:hint="eastAsia" w:ascii="仿宋_GB2312" w:hAnsi="ˎ̥" w:eastAsia="仿宋_GB2312"/>
          <w:color w:val="auto"/>
          <w:sz w:val="32"/>
          <w:szCs w:val="32"/>
        </w:rPr>
        <w:t>支出</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w:t>
      </w:r>
    </w:p>
    <w:p w14:paraId="79A51564">
      <w:pPr>
        <w:keepNext w:val="0"/>
        <w:keepLines w:val="0"/>
        <w:pageBreakBefore w:val="0"/>
        <w:widowControl/>
        <w:kinsoku/>
        <w:wordWrap/>
        <w:overflowPunct/>
        <w:topLinePunct w:val="0"/>
        <w:autoSpaceDE/>
        <w:bidi w:val="0"/>
        <w:adjustRightInd/>
        <w:snapToGrid/>
        <w:spacing w:line="578" w:lineRule="exact"/>
        <w:ind w:firstLine="643" w:firstLineChars="200"/>
        <w:rPr>
          <w:rFonts w:hint="eastAsia" w:ascii="仿宋_GB2312" w:hAnsi="ˎ̥" w:eastAsia="仿宋_GB2312"/>
          <w:color w:val="auto"/>
          <w:sz w:val="32"/>
          <w:szCs w:val="32"/>
        </w:rPr>
      </w:pPr>
      <w:r>
        <w:rPr>
          <w:rFonts w:hint="eastAsia" w:ascii="仿宋_GB2312" w:hAnsi="ˎ̥" w:eastAsia="仿宋_GB2312"/>
          <w:b/>
          <w:color w:val="auto"/>
          <w:sz w:val="32"/>
          <w:szCs w:val="32"/>
        </w:rPr>
        <w:t>3.公务接待费支出</w:t>
      </w:r>
      <w:r>
        <w:rPr>
          <w:rFonts w:hint="default" w:ascii="仿宋_GB2312" w:hAnsi="ˎ̥" w:eastAsia="仿宋_GB2312"/>
          <w:color w:val="auto"/>
          <w:sz w:val="32"/>
          <w:szCs w:val="32"/>
          <w:lang w:val="en-US"/>
        </w:rPr>
        <w:t>0.00</w:t>
      </w:r>
      <w:r>
        <w:rPr>
          <w:rFonts w:hint="eastAsia" w:ascii="仿宋_GB2312" w:hAnsi="ˎ̥" w:eastAsia="仿宋_GB2312"/>
          <w:color w:val="auto"/>
          <w:sz w:val="32"/>
          <w:szCs w:val="32"/>
        </w:rPr>
        <w:t>万元。</w:t>
      </w:r>
    </w:p>
    <w:p w14:paraId="6E12F762">
      <w:pPr>
        <w:keepNext w:val="0"/>
        <w:keepLines w:val="0"/>
        <w:pageBreakBefore w:val="0"/>
        <w:widowControl/>
        <w:kinsoku/>
        <w:wordWrap/>
        <w:overflowPunct/>
        <w:topLinePunct w:val="0"/>
        <w:autoSpaceDE/>
        <w:bidi w:val="0"/>
        <w:adjustRightInd/>
        <w:snapToGrid/>
        <w:spacing w:line="578" w:lineRule="exact"/>
        <w:ind w:firstLine="643" w:firstLineChars="200"/>
        <w:rPr>
          <w:rFonts w:hint="eastAsia" w:ascii="仿宋" w:hAnsi="仿宋" w:eastAsia="仿宋" w:cs="仿宋"/>
          <w:color w:val="auto"/>
          <w:sz w:val="32"/>
          <w:szCs w:val="32"/>
        </w:rPr>
      </w:pPr>
      <w:r>
        <w:rPr>
          <w:rFonts w:hint="eastAsia" w:ascii="仿宋_GB2312" w:hAnsi="ˎ̥" w:eastAsia="仿宋_GB2312"/>
          <w:b/>
          <w:bCs/>
          <w:color w:val="auto"/>
          <w:sz w:val="32"/>
          <w:szCs w:val="32"/>
        </w:rPr>
        <w:t>国（境）外接待费</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万元，国（境）外公务接待</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批次，接待</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人次。</w:t>
      </w:r>
    </w:p>
    <w:p w14:paraId="5D95B49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（注：202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年度“三公”经费预算数、决算数可取自财决公开09表，出国团组数、出国人次，公务用车购置数、公务用车保有量，接待团组数、接待人次可取自部门决算报表F03表《机构运行信息表》，202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年度相关数据可取自202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年度部门决算报表F03表《机构运行信息表》。）</w:t>
      </w:r>
    </w:p>
    <w:p w14:paraId="3B8181B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十、预算绩效情况说明</w:t>
      </w:r>
    </w:p>
    <w:p w14:paraId="16F958C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（一）绩效管理工作开展情况</w:t>
      </w:r>
    </w:p>
    <w:p w14:paraId="7AA50193">
      <w:pPr>
        <w:keepNext w:val="0"/>
        <w:keepLines w:val="0"/>
        <w:pageBreakBefore w:val="0"/>
        <w:widowControl/>
        <w:kinsoku/>
        <w:wordWrap/>
        <w:overflowPunct/>
        <w:topLinePunct w:val="0"/>
        <w:autoSpaceDE/>
        <w:bidi w:val="0"/>
        <w:adjustRightInd/>
        <w:snapToGrid/>
        <w:spacing w:after="100" w:afterAutospacing="1"/>
        <w:ind w:firstLine="640" w:firstLineChars="200"/>
        <w:rPr>
          <w:rFonts w:cs="仿宋_GB2312"/>
          <w:color w:val="auto"/>
          <w:sz w:val="32"/>
          <w:szCs w:val="32"/>
          <w:shd w:val="clear" w:color="auto" w:fill="FFFFFF"/>
          <w:lang w:bidi="ar"/>
        </w:rPr>
      </w:pPr>
      <w:r>
        <w:rPr>
          <w:rFonts w:cs="仿宋_GB2312"/>
          <w:color w:val="auto"/>
          <w:sz w:val="32"/>
          <w:szCs w:val="32"/>
          <w:shd w:val="clear" w:color="auto" w:fill="FFFFFF"/>
        </w:rPr>
        <w:t>根据预算管理要求，海南师范大学附属中学组织对202</w:t>
      </w:r>
      <w:r>
        <w:rPr>
          <w:rFonts w:hint="eastAsia" w:cs="仿宋_GB2312"/>
          <w:color w:val="auto"/>
          <w:sz w:val="32"/>
          <w:szCs w:val="32"/>
          <w:shd w:val="clear" w:color="auto" w:fill="FFFFFF"/>
          <w:lang w:val="en-US" w:eastAsia="zh-CN"/>
        </w:rPr>
        <w:t>5</w:t>
      </w:r>
      <w:r>
        <w:rPr>
          <w:rFonts w:cs="仿宋_GB2312"/>
          <w:color w:val="auto"/>
          <w:sz w:val="32"/>
          <w:szCs w:val="32"/>
          <w:shd w:val="clear" w:color="auto" w:fill="FFFFFF"/>
        </w:rPr>
        <w:t>年度一般公共预算项目支出全面开展绩效自评。</w:t>
      </w:r>
      <w:r>
        <w:rPr>
          <w:rFonts w:cs="仿宋_GB2312"/>
          <w:color w:val="auto"/>
          <w:sz w:val="32"/>
          <w:szCs w:val="32"/>
          <w:shd w:val="clear" w:color="auto" w:fill="FFFFFF"/>
          <w:lang w:bidi="ar"/>
        </w:rPr>
        <w:t>其中，自评项目</w:t>
      </w:r>
      <w:r>
        <w:rPr>
          <w:rFonts w:hint="eastAsia" w:cs="仿宋_GB2312"/>
          <w:color w:val="auto"/>
          <w:sz w:val="32"/>
          <w:szCs w:val="32"/>
          <w:shd w:val="clear" w:color="auto" w:fill="FFFFFF"/>
          <w:lang w:val="en-US" w:eastAsia="zh-CN" w:bidi="ar"/>
        </w:rPr>
        <w:t>25</w:t>
      </w:r>
      <w:r>
        <w:rPr>
          <w:rFonts w:cs="仿宋_GB2312"/>
          <w:color w:val="auto"/>
          <w:sz w:val="32"/>
          <w:szCs w:val="32"/>
          <w:shd w:val="clear" w:color="auto" w:fill="FFFFFF"/>
          <w:lang w:bidi="ar"/>
        </w:rPr>
        <w:t>个，共涉及资金</w:t>
      </w:r>
      <w:r>
        <w:rPr>
          <w:rFonts w:hint="eastAsia" w:cs="仿宋_GB2312"/>
          <w:color w:val="auto"/>
          <w:sz w:val="32"/>
          <w:szCs w:val="32"/>
          <w:shd w:val="clear" w:color="auto" w:fill="FFFFFF"/>
          <w:lang w:val="en-US" w:eastAsia="zh-CN" w:bidi="ar"/>
        </w:rPr>
        <w:t>2,942.02</w:t>
      </w:r>
      <w:r>
        <w:rPr>
          <w:rFonts w:cs="仿宋_GB2312"/>
          <w:color w:val="auto"/>
          <w:sz w:val="32"/>
          <w:szCs w:val="32"/>
          <w:shd w:val="clear" w:color="auto" w:fill="FFFFFF"/>
          <w:lang w:bidi="ar"/>
        </w:rPr>
        <w:t>万元，占一般公共预算项目支出总额的</w:t>
      </w:r>
      <w:r>
        <w:rPr>
          <w:rFonts w:hint="eastAsia" w:cs="仿宋_GB2312"/>
          <w:color w:val="auto"/>
          <w:sz w:val="32"/>
          <w:szCs w:val="32"/>
          <w:shd w:val="clear" w:color="auto" w:fill="FFFFFF"/>
          <w:lang w:val="en-US" w:eastAsia="zh-CN" w:bidi="ar"/>
        </w:rPr>
        <w:t>6</w:t>
      </w:r>
      <w:r>
        <w:rPr>
          <w:rFonts w:hint="eastAsia" w:cs="仿宋_GB2312"/>
          <w:color w:val="auto"/>
          <w:sz w:val="32"/>
          <w:szCs w:val="32"/>
          <w:shd w:val="clear" w:color="auto" w:fill="FFFFFF"/>
          <w:lang w:bidi="ar"/>
        </w:rPr>
        <w:t>7.4</w:t>
      </w:r>
      <w:r>
        <w:rPr>
          <w:rFonts w:cs="仿宋_GB2312"/>
          <w:color w:val="auto"/>
          <w:sz w:val="32"/>
          <w:szCs w:val="32"/>
          <w:shd w:val="clear" w:color="auto" w:fill="FFFFFF"/>
          <w:lang w:bidi="ar"/>
        </w:rPr>
        <w:t>%。</w:t>
      </w:r>
    </w:p>
    <w:p w14:paraId="360ACFB1">
      <w:pPr>
        <w:keepNext w:val="0"/>
        <w:keepLines w:val="0"/>
        <w:pageBreakBefore w:val="0"/>
        <w:widowControl/>
        <w:numPr>
          <w:ilvl w:val="0"/>
          <w:numId w:val="0"/>
        </w:numPr>
        <w:kinsoku/>
        <w:wordWrap/>
        <w:overflowPunct/>
        <w:topLinePunct w:val="0"/>
        <w:autoSpaceDE/>
        <w:bidi w:val="0"/>
        <w:adjustRightInd/>
        <w:snapToGrid/>
        <w:spacing w:line="360" w:lineRule="auto"/>
        <w:ind w:firstLine="640" w:firstLineChars="200"/>
        <w:outlineLvl w:val="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“设备（设施）运行维护与改造”项目绩效自评综述：根据年初设定的绩效目标，项目自评得分为</w:t>
      </w:r>
      <w:r>
        <w:rPr>
          <w:rFonts w:hint="eastAsia" w:ascii="仿宋" w:hAnsi="仿宋" w:eastAsia="仿宋" w:cs="仿宋"/>
          <w:color w:val="auto"/>
          <w:sz w:val="32"/>
          <w:szCs w:val="32"/>
          <w:lang w:val="en-US" w:eastAsia="zh-CN"/>
        </w:rPr>
        <w:t>92</w:t>
      </w:r>
      <w:r>
        <w:rPr>
          <w:rFonts w:hint="eastAsia" w:ascii="仿宋" w:hAnsi="仿宋" w:eastAsia="仿宋" w:cs="仿宋"/>
          <w:color w:val="auto"/>
          <w:sz w:val="32"/>
          <w:szCs w:val="32"/>
        </w:rPr>
        <w:t>分。全年预算数为</w:t>
      </w:r>
      <w:r>
        <w:rPr>
          <w:rFonts w:hint="eastAsia" w:ascii="仿宋" w:hAnsi="仿宋" w:eastAsia="仿宋" w:cs="仿宋"/>
          <w:color w:val="auto"/>
          <w:sz w:val="32"/>
          <w:szCs w:val="32"/>
          <w:lang w:val="en-US" w:eastAsia="zh-CN"/>
        </w:rPr>
        <w:t>70.45</w:t>
      </w:r>
      <w:r>
        <w:rPr>
          <w:rFonts w:hint="eastAsia" w:ascii="仿宋" w:hAnsi="仿宋" w:eastAsia="仿宋" w:cs="仿宋"/>
          <w:color w:val="auto"/>
          <w:sz w:val="32"/>
          <w:szCs w:val="32"/>
        </w:rPr>
        <w:t>万元，执行数为</w:t>
      </w:r>
      <w:r>
        <w:rPr>
          <w:rFonts w:hint="eastAsia" w:ascii="仿宋" w:hAnsi="仿宋" w:eastAsia="仿宋" w:cs="仿宋"/>
          <w:color w:val="auto"/>
          <w:sz w:val="32"/>
          <w:szCs w:val="32"/>
          <w:lang w:val="en-US" w:eastAsia="zh-CN"/>
        </w:rPr>
        <w:t>70.45</w:t>
      </w:r>
      <w:r>
        <w:rPr>
          <w:rFonts w:hint="eastAsia" w:ascii="仿宋" w:hAnsi="仿宋" w:eastAsia="仿宋" w:cs="仿宋"/>
          <w:color w:val="auto"/>
          <w:sz w:val="32"/>
          <w:szCs w:val="32"/>
        </w:rPr>
        <w:t>万元，完成预算100%。项目绩效目标完成情况：1、日常零星维修</w:t>
      </w:r>
      <w:r>
        <w:rPr>
          <w:rFonts w:hint="eastAsia" w:ascii="仿宋" w:hAnsi="仿宋" w:eastAsia="仿宋" w:cs="仿宋"/>
          <w:color w:val="auto"/>
          <w:sz w:val="32"/>
          <w:szCs w:val="32"/>
          <w:lang w:val="en-US" w:eastAsia="zh-CN"/>
        </w:rPr>
        <w:t>32.45</w:t>
      </w:r>
      <w:r>
        <w:rPr>
          <w:rFonts w:hint="eastAsia" w:ascii="仿宋" w:hAnsi="仿宋" w:eastAsia="仿宋" w:cs="仿宋"/>
          <w:color w:val="auto"/>
          <w:sz w:val="32"/>
          <w:szCs w:val="32"/>
        </w:rPr>
        <w:t>万元 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其他设备维修</w:t>
      </w: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万元 。</w:t>
      </w:r>
    </w:p>
    <w:p w14:paraId="17062E96">
      <w:pPr>
        <w:keepNext w:val="0"/>
        <w:keepLines w:val="0"/>
        <w:pageBreakBefore w:val="0"/>
        <w:widowControl/>
        <w:numPr>
          <w:ilvl w:val="0"/>
          <w:numId w:val="0"/>
        </w:numPr>
        <w:kinsoku/>
        <w:wordWrap/>
        <w:overflowPunct/>
        <w:topLinePunct w:val="0"/>
        <w:autoSpaceDE/>
        <w:bidi w:val="0"/>
        <w:adjustRightInd/>
        <w:snapToGrid/>
        <w:spacing w:line="360" w:lineRule="auto"/>
        <w:ind w:firstLine="640" w:firstLineChars="200"/>
        <w:outlineLvl w:val="0"/>
        <w:rPr>
          <w:rFonts w:hint="eastAsia" w:ascii="仿宋" w:hAnsi="仿宋" w:eastAsia="仿宋" w:cs="仿宋"/>
          <w:color w:val="auto"/>
          <w:sz w:val="32"/>
          <w:szCs w:val="32"/>
        </w:rPr>
      </w:pPr>
      <w:r>
        <w:rPr>
          <w:rFonts w:hint="eastAsia" w:ascii="仿宋" w:hAnsi="仿宋" w:eastAsia="仿宋" w:cs="仿宋"/>
          <w:color w:val="auto"/>
          <w:sz w:val="32"/>
          <w:szCs w:val="32"/>
        </w:rPr>
        <w:t>2.“后勤保障” 项目绩效自评综述：根据年初设定的绩效目标，项目自评得分为</w:t>
      </w:r>
      <w:r>
        <w:rPr>
          <w:rFonts w:hint="eastAsia" w:ascii="仿宋" w:hAnsi="仿宋" w:eastAsia="仿宋" w:cs="仿宋"/>
          <w:color w:val="auto"/>
          <w:sz w:val="32"/>
          <w:szCs w:val="32"/>
          <w:lang w:val="en-US" w:eastAsia="zh-CN"/>
        </w:rPr>
        <w:t>98</w:t>
      </w:r>
      <w:r>
        <w:rPr>
          <w:rFonts w:hint="eastAsia" w:ascii="仿宋" w:hAnsi="仿宋" w:eastAsia="仿宋" w:cs="仿宋"/>
          <w:color w:val="auto"/>
          <w:sz w:val="32"/>
          <w:szCs w:val="32"/>
        </w:rPr>
        <w:t>分。全年预算数为</w:t>
      </w:r>
      <w:r>
        <w:rPr>
          <w:rFonts w:hint="eastAsia" w:ascii="仿宋" w:hAnsi="仿宋" w:eastAsia="仿宋" w:cs="仿宋"/>
          <w:color w:val="auto"/>
          <w:sz w:val="32"/>
          <w:szCs w:val="32"/>
          <w:lang w:val="en-US" w:eastAsia="zh-CN"/>
        </w:rPr>
        <w:t>540</w:t>
      </w:r>
      <w:r>
        <w:rPr>
          <w:rFonts w:hint="eastAsia" w:ascii="仿宋" w:hAnsi="仿宋" w:eastAsia="仿宋" w:cs="仿宋"/>
          <w:color w:val="auto"/>
          <w:sz w:val="32"/>
          <w:szCs w:val="32"/>
        </w:rPr>
        <w:t>万元，执行数为</w:t>
      </w:r>
      <w:r>
        <w:rPr>
          <w:rFonts w:hint="eastAsia" w:ascii="仿宋" w:hAnsi="仿宋" w:eastAsia="仿宋" w:cs="仿宋"/>
          <w:color w:val="auto"/>
          <w:sz w:val="32"/>
          <w:szCs w:val="32"/>
          <w:lang w:val="en-US" w:eastAsia="zh-CN"/>
        </w:rPr>
        <w:t>526.48</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97.50</w:t>
      </w:r>
      <w:r>
        <w:rPr>
          <w:rFonts w:hint="eastAsia" w:ascii="仿宋" w:hAnsi="仿宋" w:eastAsia="仿宋" w:cs="仿宋"/>
          <w:color w:val="auto"/>
          <w:sz w:val="32"/>
          <w:szCs w:val="32"/>
        </w:rPr>
        <w:t>%。项目绩效目标完成情况：202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年初高中物业管理费</w:t>
      </w:r>
      <w:r>
        <w:rPr>
          <w:rFonts w:hint="eastAsia" w:ascii="仿宋" w:hAnsi="仿宋" w:eastAsia="仿宋" w:cs="仿宋"/>
          <w:color w:val="auto"/>
          <w:sz w:val="32"/>
          <w:szCs w:val="32"/>
          <w:lang w:val="en-US" w:eastAsia="zh-CN"/>
        </w:rPr>
        <w:t>50</w:t>
      </w:r>
      <w:r>
        <w:rPr>
          <w:rFonts w:hint="eastAsia" w:ascii="仿宋" w:hAnsi="仿宋" w:eastAsia="仿宋" w:cs="仿宋"/>
          <w:color w:val="auto"/>
          <w:sz w:val="32"/>
          <w:szCs w:val="32"/>
        </w:rPr>
        <w:t>6万元、清洁卫生10万元、校园绿化费24万元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下一步改进措施：今后还需要加强这方面的工作。</w:t>
      </w:r>
    </w:p>
    <w:p w14:paraId="7BDA5B9D">
      <w:pPr>
        <w:keepNext w:val="0"/>
        <w:keepLines w:val="0"/>
        <w:pageBreakBefore w:val="0"/>
        <w:widowControl/>
        <w:kinsoku/>
        <w:wordWrap/>
        <w:overflowPunct/>
        <w:topLinePunct w:val="0"/>
        <w:autoSpaceDE/>
        <w:bidi w:val="0"/>
        <w:adjustRightInd/>
        <w:snapToGrid/>
        <w:spacing w:before="100" w:beforeAutospacing="1" w:after="100" w:afterAutospacing="1"/>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3.“偿还债务本金及贴息” 项目绩效自评综述：根据年初设定的绩效目标，项目自评得分为</w:t>
      </w:r>
      <w:r>
        <w:rPr>
          <w:rFonts w:hint="eastAsia" w:ascii="仿宋" w:hAnsi="仿宋" w:eastAsia="仿宋" w:cs="仿宋"/>
          <w:color w:val="auto"/>
          <w:sz w:val="32"/>
          <w:szCs w:val="32"/>
          <w:lang w:val="en-US" w:eastAsia="zh-CN"/>
        </w:rPr>
        <w:t>95</w:t>
      </w:r>
      <w:r>
        <w:rPr>
          <w:rFonts w:hint="eastAsia" w:ascii="仿宋" w:hAnsi="仿宋" w:eastAsia="仿宋" w:cs="仿宋"/>
          <w:color w:val="auto"/>
          <w:sz w:val="32"/>
          <w:szCs w:val="32"/>
        </w:rPr>
        <w:t>分。全年预算数为86.6万元，执行数为86.6万元，完成预算的100%。项目绩效目标完成情况：两栋学生公寓楼债务本金及贴息。</w:t>
      </w:r>
    </w:p>
    <w:p w14:paraId="29D07E76">
      <w:pPr>
        <w:spacing w:line="360" w:lineRule="auto"/>
        <w:ind w:firstLine="640" w:firstLineChars="200"/>
        <w:rPr>
          <w:rFonts w:hint="eastAsia" w:ascii="仿宋" w:hAnsi="仿宋" w:eastAsia="仿宋" w:cs="仿宋"/>
          <w:b/>
          <w:bCs/>
          <w:color w:val="auto"/>
          <w:sz w:val="32"/>
          <w:szCs w:val="32"/>
          <w:highlight w:val="yellow"/>
        </w:rPr>
      </w:pPr>
      <w:r>
        <w:rPr>
          <w:rFonts w:hint="eastAsia" w:cs="宋体"/>
          <w:bCs/>
          <w:color w:val="auto"/>
          <w:sz w:val="32"/>
          <w:szCs w:val="32"/>
        </w:rPr>
        <w:t>4.“综合楼”项目绩效自评综述</w:t>
      </w:r>
      <w:r>
        <w:rPr>
          <w:rFonts w:hint="eastAsia" w:ascii="仿宋" w:hAnsi="仿宋" w:eastAsia="仿宋" w:cs="仿宋"/>
          <w:bCs/>
          <w:color w:val="auto"/>
          <w:sz w:val="32"/>
          <w:szCs w:val="32"/>
        </w:rPr>
        <w:t>：</w:t>
      </w:r>
      <w:r>
        <w:rPr>
          <w:rFonts w:hint="eastAsia" w:ascii="宋体" w:hAnsi="宋体" w:eastAsia="宋体" w:cs="宋体"/>
          <w:bCs/>
          <w:color w:val="auto"/>
          <w:sz w:val="32"/>
          <w:szCs w:val="32"/>
        </w:rPr>
        <w:t>根据年初设定的绩效目标</w:t>
      </w:r>
      <w:r>
        <w:rPr>
          <w:rFonts w:hint="eastAsia" w:ascii="仿宋" w:hAnsi="仿宋" w:eastAsia="仿宋" w:cs="仿宋"/>
          <w:bCs/>
          <w:color w:val="auto"/>
          <w:sz w:val="32"/>
          <w:szCs w:val="32"/>
        </w:rPr>
        <w:t>，项目自评得分为</w:t>
      </w:r>
      <w:r>
        <w:rPr>
          <w:rFonts w:hint="eastAsia" w:ascii="仿宋" w:hAnsi="仿宋" w:eastAsia="仿宋" w:cs="仿宋"/>
          <w:bCs/>
          <w:color w:val="auto"/>
          <w:sz w:val="32"/>
          <w:szCs w:val="32"/>
          <w:lang w:val="en-US" w:eastAsia="zh-CN"/>
        </w:rPr>
        <w:t>94</w:t>
      </w:r>
      <w:r>
        <w:rPr>
          <w:rFonts w:hint="eastAsia" w:ascii="仿宋" w:hAnsi="仿宋" w:eastAsia="仿宋" w:cs="仿宋"/>
          <w:bCs/>
          <w:color w:val="auto"/>
          <w:sz w:val="32"/>
          <w:szCs w:val="32"/>
        </w:rPr>
        <w:t>分。</w:t>
      </w:r>
      <w:r>
        <w:rPr>
          <w:rFonts w:hint="eastAsia" w:cs="仿宋"/>
          <w:bCs/>
          <w:color w:val="auto"/>
          <w:sz w:val="32"/>
          <w:szCs w:val="32"/>
        </w:rPr>
        <w:t>全年预算数为</w:t>
      </w:r>
      <w:r>
        <w:rPr>
          <w:rFonts w:hint="eastAsia" w:cs="仿宋"/>
          <w:bCs/>
          <w:color w:val="auto"/>
          <w:sz w:val="32"/>
          <w:szCs w:val="32"/>
          <w:lang w:val="en-US" w:eastAsia="zh-CN"/>
        </w:rPr>
        <w:t>411.06</w:t>
      </w:r>
      <w:r>
        <w:rPr>
          <w:rFonts w:hint="eastAsia" w:cs="仿宋"/>
          <w:bCs/>
          <w:color w:val="auto"/>
          <w:sz w:val="32"/>
          <w:szCs w:val="32"/>
        </w:rPr>
        <w:t>万元，执行数为</w:t>
      </w:r>
      <w:r>
        <w:rPr>
          <w:rFonts w:hint="eastAsia" w:cs="仿宋"/>
          <w:bCs/>
          <w:color w:val="auto"/>
          <w:sz w:val="32"/>
          <w:szCs w:val="32"/>
          <w:lang w:val="en-US" w:eastAsia="zh-CN"/>
        </w:rPr>
        <w:t>391.53</w:t>
      </w:r>
      <w:r>
        <w:rPr>
          <w:rFonts w:hint="eastAsia" w:cs="仿宋"/>
          <w:bCs/>
          <w:color w:val="auto"/>
          <w:sz w:val="32"/>
          <w:szCs w:val="32"/>
        </w:rPr>
        <w:t>万元，完成预算的</w:t>
      </w:r>
      <w:r>
        <w:rPr>
          <w:rFonts w:hint="eastAsia" w:cs="仿宋"/>
          <w:bCs/>
          <w:color w:val="auto"/>
          <w:sz w:val="32"/>
          <w:szCs w:val="32"/>
          <w:lang w:val="en-US" w:eastAsia="zh-CN"/>
        </w:rPr>
        <w:t>95.25</w:t>
      </w:r>
      <w:r>
        <w:rPr>
          <w:rFonts w:hint="eastAsia" w:cs="仿宋"/>
          <w:bCs/>
          <w:color w:val="auto"/>
          <w:sz w:val="32"/>
          <w:szCs w:val="32"/>
        </w:rPr>
        <w:t>%。</w:t>
      </w:r>
      <w:r>
        <w:rPr>
          <w:rFonts w:hint="eastAsia" w:ascii="宋体" w:hAnsi="宋体" w:eastAsia="宋体" w:cs="宋体"/>
          <w:bCs/>
          <w:color w:val="auto"/>
          <w:sz w:val="32"/>
          <w:szCs w:val="32"/>
        </w:rPr>
        <w:t>项目绩效目标完成情况：综合楼项目建设</w:t>
      </w:r>
      <w:r>
        <w:rPr>
          <w:rFonts w:hint="eastAsia" w:ascii="仿宋" w:hAnsi="仿宋" w:eastAsia="仿宋" w:cs="仿宋"/>
          <w:color w:val="auto"/>
          <w:sz w:val="32"/>
          <w:szCs w:val="32"/>
        </w:rPr>
        <w:t>。</w:t>
      </w:r>
    </w:p>
    <w:p w14:paraId="2313D36A">
      <w:pPr>
        <w:keepNext w:val="0"/>
        <w:keepLines w:val="0"/>
        <w:pageBreakBefore w:val="0"/>
        <w:widowControl/>
        <w:kinsoku/>
        <w:wordWrap/>
        <w:overflowPunct/>
        <w:topLinePunct w:val="0"/>
        <w:autoSpaceDE/>
        <w:bidi w:val="0"/>
        <w:adjustRightInd/>
        <w:snapToGrid/>
        <w:spacing w:before="100" w:beforeAutospacing="1" w:after="100" w:afterAutospacing="1"/>
        <w:ind w:firstLine="640" w:firstLineChars="200"/>
        <w:rPr>
          <w:rFonts w:hint="eastAsia" w:ascii="宋体" w:hAnsi="宋体" w:eastAsia="宋体" w:cs="宋体"/>
          <w:bCs/>
          <w:color w:val="auto"/>
          <w:sz w:val="32"/>
          <w:szCs w:val="32"/>
        </w:rPr>
      </w:pPr>
      <w:r>
        <w:rPr>
          <w:rFonts w:hint="eastAsia" w:ascii="仿宋" w:hAnsi="仿宋" w:eastAsia="仿宋" w:cs="仿宋"/>
          <w:bCs/>
          <w:color w:val="auto"/>
          <w:sz w:val="32"/>
          <w:szCs w:val="32"/>
        </w:rPr>
        <w:t>5.“</w:t>
      </w:r>
      <w:r>
        <w:rPr>
          <w:color w:val="auto"/>
          <w:sz w:val="32"/>
          <w:szCs w:val="32"/>
        </w:rPr>
        <w:t>综合运行事务</w:t>
      </w:r>
      <w:r>
        <w:rPr>
          <w:rFonts w:hint="eastAsia" w:ascii="仿宋" w:hAnsi="仿宋" w:eastAsia="仿宋" w:cs="仿宋"/>
          <w:bCs/>
          <w:color w:val="auto"/>
          <w:sz w:val="32"/>
          <w:szCs w:val="32"/>
        </w:rPr>
        <w:t>”</w:t>
      </w:r>
      <w:r>
        <w:rPr>
          <w:rFonts w:hint="eastAsia" w:cs="宋体"/>
          <w:bCs/>
          <w:color w:val="auto"/>
          <w:sz w:val="32"/>
          <w:szCs w:val="32"/>
        </w:rPr>
        <w:t>项目绩效自评综述：</w:t>
      </w:r>
      <w:r>
        <w:rPr>
          <w:rFonts w:hint="eastAsia" w:ascii="仿宋" w:hAnsi="仿宋" w:eastAsia="仿宋" w:cs="仿宋"/>
          <w:bCs/>
          <w:color w:val="auto"/>
          <w:sz w:val="32"/>
          <w:szCs w:val="32"/>
        </w:rPr>
        <w:t>根</w:t>
      </w:r>
      <w:bookmarkStart w:id="116" w:name="_GoBack"/>
      <w:r>
        <w:rPr>
          <w:rFonts w:hint="eastAsia" w:ascii="宋体" w:hAnsi="宋体" w:eastAsia="宋体" w:cs="宋体"/>
          <w:bCs/>
          <w:color w:val="auto"/>
          <w:sz w:val="32"/>
          <w:szCs w:val="32"/>
        </w:rPr>
        <w:t>据年初设定的绩效目标，项目自评得分为</w:t>
      </w:r>
      <w:r>
        <w:rPr>
          <w:rFonts w:hint="eastAsia" w:ascii="宋体" w:hAnsi="宋体" w:eastAsia="宋体" w:cs="宋体"/>
          <w:bCs/>
          <w:color w:val="auto"/>
          <w:sz w:val="32"/>
          <w:szCs w:val="32"/>
          <w:lang w:val="en-US" w:eastAsia="zh-CN"/>
        </w:rPr>
        <w:t>93</w:t>
      </w:r>
      <w:r>
        <w:rPr>
          <w:rFonts w:hint="eastAsia" w:ascii="宋体" w:hAnsi="宋体" w:eastAsia="宋体" w:cs="宋体"/>
          <w:bCs/>
          <w:color w:val="auto"/>
          <w:sz w:val="32"/>
          <w:szCs w:val="32"/>
        </w:rPr>
        <w:t>分。全年预算数为</w:t>
      </w:r>
      <w:r>
        <w:rPr>
          <w:rFonts w:hint="eastAsia" w:ascii="宋体" w:hAnsi="宋体" w:eastAsia="宋体" w:cs="宋体"/>
          <w:bCs/>
          <w:color w:val="auto"/>
          <w:sz w:val="32"/>
          <w:szCs w:val="32"/>
          <w:lang w:val="en-US" w:eastAsia="zh-CN"/>
        </w:rPr>
        <w:t>203.41</w:t>
      </w:r>
      <w:r>
        <w:rPr>
          <w:rFonts w:hint="eastAsia" w:ascii="宋体" w:hAnsi="宋体" w:eastAsia="宋体" w:cs="宋体"/>
          <w:bCs/>
          <w:color w:val="auto"/>
          <w:sz w:val="32"/>
          <w:szCs w:val="32"/>
        </w:rPr>
        <w:t>万元，执行数为</w:t>
      </w:r>
      <w:r>
        <w:rPr>
          <w:rFonts w:hint="eastAsia" w:ascii="宋体" w:hAnsi="宋体" w:eastAsia="宋体" w:cs="宋体"/>
          <w:bCs/>
          <w:color w:val="auto"/>
          <w:sz w:val="32"/>
          <w:szCs w:val="32"/>
          <w:lang w:val="en-US" w:eastAsia="zh-CN"/>
        </w:rPr>
        <w:t>199.75</w:t>
      </w:r>
      <w:r>
        <w:rPr>
          <w:rFonts w:hint="eastAsia" w:ascii="宋体" w:hAnsi="宋体" w:eastAsia="宋体" w:cs="宋体"/>
          <w:bCs/>
          <w:color w:val="auto"/>
          <w:sz w:val="32"/>
          <w:szCs w:val="32"/>
        </w:rPr>
        <w:t>万元，完成预算的</w:t>
      </w:r>
      <w:r>
        <w:rPr>
          <w:rFonts w:hint="eastAsia" w:ascii="宋体" w:hAnsi="宋体" w:eastAsia="宋体" w:cs="宋体"/>
          <w:bCs/>
          <w:color w:val="auto"/>
          <w:sz w:val="32"/>
          <w:szCs w:val="32"/>
          <w:lang w:val="en-US" w:eastAsia="zh-CN"/>
        </w:rPr>
        <w:t>98.21</w:t>
      </w:r>
      <w:r>
        <w:rPr>
          <w:rFonts w:hint="eastAsia" w:ascii="宋体" w:hAnsi="宋体" w:eastAsia="宋体" w:cs="宋体"/>
          <w:bCs/>
          <w:color w:val="auto"/>
          <w:sz w:val="32"/>
          <w:szCs w:val="32"/>
        </w:rPr>
        <w:t>%。项目绩效目标完成情况：主要是水电费、教学水电材料费、校车租用费、劳务费（设计、预算、招标代理、监理、测绘、律师等）。</w:t>
      </w:r>
    </w:p>
    <w:bookmarkEnd w:id="116"/>
    <w:p w14:paraId="18702F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eastAsia="宋体" w:cs="宋体"/>
          <w:color w:val="auto"/>
          <w:sz w:val="32"/>
          <w:szCs w:val="32"/>
          <w:lang w:eastAsia="zh-CN"/>
        </w:rPr>
      </w:pPr>
      <w:r>
        <w:rPr>
          <w:rFonts w:hint="eastAsia" w:cs="宋体"/>
          <w:color w:val="auto"/>
          <w:sz w:val="32"/>
          <w:szCs w:val="32"/>
        </w:rPr>
        <w:t>本校根据202</w:t>
      </w:r>
      <w:r>
        <w:rPr>
          <w:rFonts w:hint="eastAsia" w:cs="宋体"/>
          <w:color w:val="auto"/>
          <w:sz w:val="32"/>
          <w:szCs w:val="32"/>
          <w:lang w:val="en-US" w:eastAsia="zh-CN"/>
        </w:rPr>
        <w:t>5</w:t>
      </w:r>
      <w:r>
        <w:rPr>
          <w:rFonts w:hint="eastAsia" w:cs="宋体"/>
          <w:color w:val="auto"/>
          <w:sz w:val="32"/>
          <w:szCs w:val="32"/>
        </w:rPr>
        <w:t>年度预算大本，完成202</w:t>
      </w:r>
      <w:r>
        <w:rPr>
          <w:rFonts w:hint="eastAsia" w:cs="宋体"/>
          <w:color w:val="auto"/>
          <w:sz w:val="32"/>
          <w:szCs w:val="32"/>
          <w:lang w:val="en-US" w:eastAsia="zh-CN"/>
        </w:rPr>
        <w:t>5</w:t>
      </w:r>
      <w:r>
        <w:rPr>
          <w:rFonts w:hint="eastAsia" w:cs="宋体"/>
          <w:color w:val="auto"/>
          <w:sz w:val="32"/>
          <w:szCs w:val="32"/>
        </w:rPr>
        <w:t>年度涉及到项目</w:t>
      </w:r>
      <w:r>
        <w:rPr>
          <w:rFonts w:cs="仿宋_GB2312"/>
          <w:color w:val="auto"/>
          <w:sz w:val="32"/>
          <w:szCs w:val="32"/>
          <w:shd w:val="clear" w:color="auto" w:fill="FFFFFF"/>
        </w:rPr>
        <w:t>全面开展绩效自评</w:t>
      </w:r>
      <w:r>
        <w:rPr>
          <w:rFonts w:hint="eastAsia" w:cs="宋体"/>
          <w:color w:val="auto"/>
          <w:sz w:val="32"/>
          <w:szCs w:val="32"/>
        </w:rPr>
        <w:t>的工作任务。项目综合得分良好，绩效级别评价为优。依据海南省教育厅的要求，依据充分目标明确，资金到位及时，项目组织实施管理有效，设定的绩效目标均已完成</w:t>
      </w:r>
      <w:r>
        <w:rPr>
          <w:rFonts w:hint="eastAsia" w:cs="宋体"/>
          <w:color w:val="auto"/>
          <w:sz w:val="32"/>
          <w:szCs w:val="32"/>
          <w:lang w:eastAsia="zh-CN"/>
        </w:rPr>
        <w:t>。</w:t>
      </w:r>
    </w:p>
    <w:p w14:paraId="16FFC1C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（二）部门决算中项目绩效自评结果</w:t>
      </w:r>
    </w:p>
    <w:p w14:paraId="62D5BFE7">
      <w:pPr>
        <w:keepNext w:val="0"/>
        <w:keepLines w:val="0"/>
        <w:pageBreakBefore w:val="0"/>
        <w:widowControl/>
        <w:kinsoku/>
        <w:wordWrap/>
        <w:overflowPunct/>
        <w:topLinePunct w:val="0"/>
        <w:autoSpaceDE/>
        <w:bidi w:val="0"/>
        <w:adjustRightInd/>
        <w:snapToGrid/>
        <w:spacing w:after="100" w:afterAutospacing="1"/>
        <w:ind w:firstLine="640" w:firstLineChars="200"/>
        <w:rPr>
          <w:rFonts w:cs="仿宋_GB2312"/>
          <w:color w:val="auto"/>
          <w:sz w:val="32"/>
          <w:szCs w:val="32"/>
          <w:shd w:val="clear" w:color="auto" w:fill="FFFFFF"/>
        </w:rPr>
      </w:pPr>
      <w:r>
        <w:rPr>
          <w:rFonts w:cs="仿宋_GB2312"/>
          <w:color w:val="auto"/>
          <w:sz w:val="32"/>
          <w:szCs w:val="32"/>
          <w:shd w:val="clear" w:color="auto" w:fill="FFFFFF"/>
        </w:rPr>
        <w:t>海南师范大学附属中学决算中</w:t>
      </w:r>
      <w:r>
        <w:rPr>
          <w:rFonts w:hint="eastAsia" w:cs="仿宋_GB2312"/>
          <w:color w:val="auto"/>
          <w:sz w:val="32"/>
          <w:szCs w:val="32"/>
          <w:shd w:val="clear" w:color="auto" w:fill="FFFFFF"/>
          <w:lang w:val="en-US" w:eastAsia="zh-CN"/>
        </w:rPr>
        <w:t>对“后勤保障项目”</w:t>
      </w:r>
      <w:r>
        <w:rPr>
          <w:rFonts w:cs="仿宋_GB2312"/>
          <w:color w:val="auto"/>
          <w:sz w:val="32"/>
          <w:szCs w:val="32"/>
          <w:shd w:val="clear" w:color="auto" w:fill="FFFFFF"/>
        </w:rPr>
        <w:t>绩效自评结果（包括项目绩效自评表和项目绩效自评报告）。</w:t>
      </w:r>
    </w:p>
    <w:p w14:paraId="31EFCF9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cs="仿宋_GB2312"/>
          <w:color w:val="auto"/>
          <w:sz w:val="32"/>
          <w:szCs w:val="32"/>
          <w:shd w:val="clear" w:color="auto" w:fill="FFFFFF"/>
        </w:rPr>
      </w:pPr>
      <w:r>
        <w:rPr>
          <w:rFonts w:hint="eastAsia" w:cs="仿宋_GB2312"/>
          <w:color w:val="auto"/>
          <w:sz w:val="32"/>
          <w:szCs w:val="32"/>
          <w:shd w:val="clear" w:color="auto" w:fill="FFFFFF"/>
          <w:lang w:val="en-US" w:eastAsia="zh-CN"/>
        </w:rPr>
        <w:t>后勤保障项目</w:t>
      </w:r>
      <w:r>
        <w:rPr>
          <w:rFonts w:cs="仿宋_GB2312"/>
          <w:color w:val="auto"/>
          <w:sz w:val="32"/>
          <w:szCs w:val="32"/>
          <w:shd w:val="clear" w:color="auto" w:fill="FFFFFF"/>
        </w:rPr>
        <w:t>绩效</w:t>
      </w:r>
      <w:r>
        <w:rPr>
          <w:rFonts w:hint="eastAsia" w:cs="仿宋_GB2312"/>
          <w:color w:val="auto"/>
          <w:sz w:val="32"/>
          <w:szCs w:val="32"/>
          <w:shd w:val="clear" w:color="auto" w:fill="FFFFFF"/>
          <w:lang w:val="en-US" w:eastAsia="zh-CN"/>
        </w:rPr>
        <w:t>目标</w:t>
      </w:r>
      <w:r>
        <w:rPr>
          <w:rFonts w:cs="仿宋_GB2312"/>
          <w:color w:val="auto"/>
          <w:sz w:val="32"/>
          <w:szCs w:val="32"/>
          <w:shd w:val="clear" w:color="auto" w:fill="FFFFFF"/>
        </w:rPr>
        <w:t>：</w:t>
      </w:r>
    </w:p>
    <w:tbl>
      <w:tblPr>
        <w:tblStyle w:val="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3"/>
        <w:gridCol w:w="2376"/>
        <w:gridCol w:w="3383"/>
        <w:gridCol w:w="1747"/>
      </w:tblGrid>
      <w:tr w14:paraId="5DF6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80" w:type="pct"/>
            <w:noWrap/>
            <w:vAlign w:val="center"/>
          </w:tcPr>
          <w:p w14:paraId="14A958BC">
            <w:pPr>
              <w:widowControl/>
              <w:jc w:val="center"/>
              <w:rPr>
                <w:rFonts w:ascii="宋体" w:hAnsi="宋体" w:cs="宋体"/>
                <w:bCs/>
                <w:color w:val="auto"/>
                <w:kern w:val="0"/>
                <w:sz w:val="24"/>
              </w:rPr>
            </w:pPr>
            <w:r>
              <w:rPr>
                <w:rFonts w:hint="eastAsia" w:ascii="宋体" w:hAnsi="宋体" w:cs="宋体"/>
                <w:bCs/>
                <w:color w:val="auto"/>
                <w:kern w:val="0"/>
                <w:sz w:val="24"/>
              </w:rPr>
              <w:t>一级指标</w:t>
            </w:r>
          </w:p>
        </w:tc>
        <w:tc>
          <w:tcPr>
            <w:tcW w:w="940" w:type="pct"/>
            <w:noWrap/>
            <w:vAlign w:val="center"/>
          </w:tcPr>
          <w:p w14:paraId="40BF9146">
            <w:pPr>
              <w:widowControl/>
              <w:jc w:val="center"/>
              <w:rPr>
                <w:rFonts w:ascii="宋体" w:hAnsi="宋体" w:cs="宋体"/>
                <w:bCs/>
                <w:color w:val="auto"/>
                <w:kern w:val="0"/>
                <w:sz w:val="24"/>
              </w:rPr>
            </w:pPr>
            <w:r>
              <w:rPr>
                <w:rFonts w:hint="eastAsia" w:ascii="宋体" w:hAnsi="宋体" w:cs="宋体"/>
                <w:bCs/>
                <w:color w:val="auto"/>
                <w:kern w:val="0"/>
                <w:sz w:val="24"/>
              </w:rPr>
              <w:t>二级指标</w:t>
            </w:r>
          </w:p>
        </w:tc>
        <w:tc>
          <w:tcPr>
            <w:tcW w:w="1990" w:type="pct"/>
            <w:noWrap/>
            <w:vAlign w:val="center"/>
          </w:tcPr>
          <w:p w14:paraId="7138121B">
            <w:pPr>
              <w:widowControl/>
              <w:jc w:val="center"/>
              <w:rPr>
                <w:rFonts w:ascii="宋体" w:hAnsi="宋体" w:cs="宋体"/>
                <w:bCs/>
                <w:color w:val="auto"/>
                <w:kern w:val="0"/>
                <w:sz w:val="24"/>
              </w:rPr>
            </w:pPr>
            <w:r>
              <w:rPr>
                <w:rFonts w:hint="eastAsia" w:ascii="宋体" w:hAnsi="宋体" w:cs="宋体"/>
                <w:bCs/>
                <w:color w:val="auto"/>
                <w:kern w:val="0"/>
                <w:sz w:val="24"/>
              </w:rPr>
              <w:t>三级指标</w:t>
            </w:r>
          </w:p>
        </w:tc>
        <w:tc>
          <w:tcPr>
            <w:tcW w:w="1087" w:type="pct"/>
            <w:noWrap/>
            <w:vAlign w:val="center"/>
          </w:tcPr>
          <w:p w14:paraId="021E82DB">
            <w:pPr>
              <w:widowControl/>
              <w:jc w:val="center"/>
              <w:rPr>
                <w:rFonts w:ascii="宋体" w:hAnsi="宋体" w:cs="宋体"/>
                <w:bCs/>
                <w:color w:val="auto"/>
                <w:kern w:val="0"/>
                <w:sz w:val="24"/>
              </w:rPr>
            </w:pPr>
            <w:r>
              <w:rPr>
                <w:rFonts w:hint="eastAsia" w:ascii="宋体" w:hAnsi="宋体" w:cs="宋体"/>
                <w:bCs/>
                <w:color w:val="auto"/>
                <w:kern w:val="0"/>
                <w:sz w:val="24"/>
              </w:rPr>
              <w:t>指标值</w:t>
            </w:r>
          </w:p>
        </w:tc>
      </w:tr>
      <w:tr w14:paraId="3838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80" w:type="pct"/>
            <w:vMerge w:val="restart"/>
            <w:noWrap/>
            <w:vAlign w:val="center"/>
          </w:tcPr>
          <w:p w14:paraId="729F987E">
            <w:pPr>
              <w:jc w:val="center"/>
              <w:rPr>
                <w:rFonts w:ascii="宋体" w:hAnsi="宋体" w:cs="宋体"/>
                <w:color w:val="auto"/>
                <w:sz w:val="24"/>
              </w:rPr>
            </w:pPr>
            <w:r>
              <w:rPr>
                <w:rFonts w:hint="eastAsia" w:ascii="宋体" w:hAnsi="宋体"/>
                <w:color w:val="auto"/>
                <w:sz w:val="24"/>
              </w:rPr>
              <w:t>产出指标</w:t>
            </w:r>
          </w:p>
        </w:tc>
        <w:tc>
          <w:tcPr>
            <w:tcW w:w="2376" w:type="dxa"/>
            <w:noWrap/>
            <w:vAlign w:val="center"/>
          </w:tcPr>
          <w:p w14:paraId="254C3FF8">
            <w:pPr>
              <w:widowControl/>
              <w:jc w:val="center"/>
              <w:textAlignment w:val="bottom"/>
              <w:rPr>
                <w:rFonts w:ascii="宋体" w:hAnsi="宋体"/>
                <w:color w:val="auto"/>
                <w:kern w:val="0"/>
                <w:sz w:val="24"/>
              </w:rPr>
            </w:pPr>
            <w:r>
              <w:rPr>
                <w:rFonts w:hint="eastAsia" w:ascii="宋体" w:hAnsi="宋体" w:cs="宋体"/>
                <w:color w:val="auto"/>
                <w:kern w:val="0"/>
                <w:sz w:val="24"/>
                <w:szCs w:val="24"/>
              </w:rPr>
              <w:t>数量指标</w:t>
            </w:r>
          </w:p>
        </w:tc>
        <w:tc>
          <w:tcPr>
            <w:tcW w:w="3132" w:type="dxa"/>
            <w:noWrap/>
            <w:vAlign w:val="center"/>
          </w:tcPr>
          <w:p w14:paraId="56883FA8">
            <w:pPr>
              <w:widowControl/>
              <w:jc w:val="center"/>
              <w:textAlignment w:val="center"/>
              <w:rPr>
                <w:rFonts w:ascii="宋体" w:hAnsi="宋体"/>
                <w:color w:val="auto"/>
                <w:sz w:val="24"/>
              </w:rPr>
            </w:pPr>
            <w:r>
              <w:rPr>
                <w:rFonts w:hint="eastAsia" w:ascii="宋体" w:hAnsi="宋体" w:cs="宋体"/>
                <w:color w:val="auto"/>
                <w:kern w:val="0"/>
                <w:sz w:val="24"/>
                <w:szCs w:val="24"/>
              </w:rPr>
              <w:t>物业服务覆盖率（%）</w:t>
            </w:r>
          </w:p>
        </w:tc>
        <w:tc>
          <w:tcPr>
            <w:tcW w:w="1596" w:type="dxa"/>
            <w:noWrap/>
            <w:vAlign w:val="center"/>
          </w:tcPr>
          <w:p w14:paraId="4286B65C">
            <w:pPr>
              <w:widowControl/>
              <w:jc w:val="center"/>
              <w:textAlignment w:val="center"/>
              <w:rPr>
                <w:rFonts w:ascii="宋体" w:hAnsi="宋体"/>
                <w:color w:val="auto"/>
                <w:sz w:val="24"/>
              </w:rPr>
            </w:pPr>
            <w:r>
              <w:rPr>
                <w:rFonts w:hint="eastAsia" w:ascii="宋体" w:hAnsi="宋体" w:cs="宋体"/>
                <w:color w:val="auto"/>
                <w:kern w:val="0"/>
                <w:sz w:val="24"/>
                <w:szCs w:val="24"/>
              </w:rPr>
              <w:t>95%</w:t>
            </w:r>
          </w:p>
        </w:tc>
      </w:tr>
      <w:tr w14:paraId="67D9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80" w:type="pct"/>
            <w:vMerge w:val="continue"/>
            <w:noWrap/>
            <w:vAlign w:val="center"/>
          </w:tcPr>
          <w:p w14:paraId="58CA5873">
            <w:pPr>
              <w:jc w:val="center"/>
              <w:rPr>
                <w:rFonts w:ascii="宋体" w:hAnsi="宋体"/>
                <w:color w:val="auto"/>
                <w:sz w:val="24"/>
              </w:rPr>
            </w:pPr>
          </w:p>
        </w:tc>
        <w:tc>
          <w:tcPr>
            <w:tcW w:w="2376" w:type="dxa"/>
            <w:noWrap/>
            <w:vAlign w:val="center"/>
          </w:tcPr>
          <w:p w14:paraId="6CA9DFD0">
            <w:pPr>
              <w:widowControl/>
              <w:jc w:val="center"/>
              <w:textAlignment w:val="bottom"/>
              <w:rPr>
                <w:rFonts w:ascii="宋体" w:hAnsi="宋体"/>
                <w:color w:val="auto"/>
                <w:sz w:val="24"/>
              </w:rPr>
            </w:pPr>
            <w:r>
              <w:rPr>
                <w:rFonts w:hint="eastAsia" w:ascii="宋体" w:hAnsi="宋体" w:cs="宋体"/>
                <w:color w:val="auto"/>
                <w:kern w:val="0"/>
                <w:sz w:val="24"/>
                <w:szCs w:val="24"/>
              </w:rPr>
              <w:t>数量指标</w:t>
            </w:r>
          </w:p>
        </w:tc>
        <w:tc>
          <w:tcPr>
            <w:tcW w:w="3132" w:type="dxa"/>
            <w:noWrap/>
            <w:vAlign w:val="center"/>
          </w:tcPr>
          <w:p w14:paraId="564668C0">
            <w:pPr>
              <w:widowControl/>
              <w:jc w:val="center"/>
              <w:textAlignment w:val="center"/>
              <w:rPr>
                <w:rFonts w:ascii="宋体" w:hAnsi="宋体"/>
                <w:color w:val="auto"/>
                <w:sz w:val="24"/>
              </w:rPr>
            </w:pPr>
            <w:r>
              <w:rPr>
                <w:rFonts w:hint="eastAsia" w:ascii="宋体" w:hAnsi="宋体" w:cs="宋体"/>
                <w:color w:val="auto"/>
                <w:kern w:val="0"/>
                <w:sz w:val="24"/>
                <w:szCs w:val="24"/>
              </w:rPr>
              <w:t>公共区域清洁频次（次/周）</w:t>
            </w:r>
          </w:p>
        </w:tc>
        <w:tc>
          <w:tcPr>
            <w:tcW w:w="1596" w:type="dxa"/>
            <w:noWrap/>
            <w:vAlign w:val="center"/>
          </w:tcPr>
          <w:p w14:paraId="37124AB3">
            <w:pPr>
              <w:widowControl/>
              <w:jc w:val="center"/>
              <w:textAlignment w:val="center"/>
              <w:rPr>
                <w:rFonts w:ascii="宋体" w:hAnsi="宋体"/>
                <w:color w:val="auto"/>
                <w:sz w:val="24"/>
              </w:rPr>
            </w:pPr>
            <w:r>
              <w:rPr>
                <w:rFonts w:hint="eastAsia" w:ascii="宋体" w:hAnsi="宋体" w:cs="宋体"/>
                <w:color w:val="auto"/>
                <w:kern w:val="0"/>
                <w:sz w:val="24"/>
                <w:szCs w:val="24"/>
              </w:rPr>
              <w:t>3次/周</w:t>
            </w:r>
          </w:p>
        </w:tc>
      </w:tr>
      <w:tr w14:paraId="31DE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80" w:type="pct"/>
            <w:vMerge w:val="continue"/>
            <w:noWrap/>
            <w:vAlign w:val="center"/>
          </w:tcPr>
          <w:p w14:paraId="1538FDF1">
            <w:pPr>
              <w:jc w:val="center"/>
              <w:rPr>
                <w:rFonts w:ascii="宋体" w:hAnsi="宋体"/>
                <w:color w:val="auto"/>
                <w:sz w:val="24"/>
              </w:rPr>
            </w:pPr>
          </w:p>
        </w:tc>
        <w:tc>
          <w:tcPr>
            <w:tcW w:w="2376" w:type="dxa"/>
            <w:noWrap/>
            <w:vAlign w:val="center"/>
          </w:tcPr>
          <w:p w14:paraId="78C86D23">
            <w:pPr>
              <w:widowControl/>
              <w:jc w:val="center"/>
              <w:textAlignment w:val="bottom"/>
              <w:rPr>
                <w:rFonts w:ascii="宋体" w:hAnsi="宋体"/>
                <w:color w:val="auto"/>
                <w:sz w:val="24"/>
              </w:rPr>
            </w:pPr>
            <w:r>
              <w:rPr>
                <w:rFonts w:hint="eastAsia" w:ascii="宋体" w:hAnsi="宋体" w:cs="宋体"/>
                <w:color w:val="auto"/>
                <w:kern w:val="0"/>
                <w:sz w:val="24"/>
                <w:szCs w:val="24"/>
              </w:rPr>
              <w:t>质量指标</w:t>
            </w:r>
          </w:p>
        </w:tc>
        <w:tc>
          <w:tcPr>
            <w:tcW w:w="3132" w:type="dxa"/>
            <w:noWrap/>
            <w:vAlign w:val="center"/>
          </w:tcPr>
          <w:p w14:paraId="7484544E">
            <w:pPr>
              <w:widowControl/>
              <w:jc w:val="center"/>
              <w:textAlignment w:val="center"/>
              <w:rPr>
                <w:rFonts w:ascii="宋体" w:hAnsi="宋体"/>
                <w:color w:val="auto"/>
                <w:sz w:val="24"/>
              </w:rPr>
            </w:pPr>
            <w:r>
              <w:rPr>
                <w:rFonts w:hint="eastAsia" w:ascii="宋体" w:hAnsi="宋体" w:cs="宋体"/>
                <w:color w:val="auto"/>
                <w:kern w:val="0"/>
                <w:sz w:val="24"/>
                <w:szCs w:val="24"/>
              </w:rPr>
              <w:t>清洁卫生达标率（%）</w:t>
            </w:r>
          </w:p>
        </w:tc>
        <w:tc>
          <w:tcPr>
            <w:tcW w:w="1596" w:type="dxa"/>
            <w:noWrap/>
            <w:vAlign w:val="center"/>
          </w:tcPr>
          <w:p w14:paraId="14F6D3FA">
            <w:pPr>
              <w:widowControl/>
              <w:jc w:val="center"/>
              <w:textAlignment w:val="center"/>
              <w:rPr>
                <w:rFonts w:ascii="宋体" w:hAnsi="宋体"/>
                <w:color w:val="auto"/>
                <w:sz w:val="24"/>
              </w:rPr>
            </w:pPr>
            <w:r>
              <w:rPr>
                <w:rFonts w:hint="eastAsia" w:ascii="宋体" w:hAnsi="宋体" w:cs="宋体"/>
                <w:color w:val="auto"/>
                <w:kern w:val="0"/>
                <w:sz w:val="24"/>
                <w:szCs w:val="24"/>
              </w:rPr>
              <w:t>90%</w:t>
            </w:r>
          </w:p>
        </w:tc>
      </w:tr>
      <w:tr w14:paraId="5C34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80" w:type="pct"/>
            <w:vMerge w:val="continue"/>
            <w:noWrap/>
            <w:vAlign w:val="center"/>
          </w:tcPr>
          <w:p w14:paraId="509DC393">
            <w:pPr>
              <w:jc w:val="center"/>
              <w:rPr>
                <w:rFonts w:ascii="宋体" w:hAnsi="宋体"/>
                <w:color w:val="auto"/>
                <w:sz w:val="24"/>
              </w:rPr>
            </w:pPr>
          </w:p>
        </w:tc>
        <w:tc>
          <w:tcPr>
            <w:tcW w:w="2376" w:type="dxa"/>
            <w:noWrap/>
            <w:vAlign w:val="center"/>
          </w:tcPr>
          <w:p w14:paraId="1D8FF9E4">
            <w:pPr>
              <w:widowControl/>
              <w:jc w:val="center"/>
              <w:textAlignment w:val="bottom"/>
              <w:rPr>
                <w:rFonts w:ascii="宋体" w:hAnsi="宋体"/>
                <w:color w:val="auto"/>
                <w:sz w:val="24"/>
              </w:rPr>
            </w:pPr>
            <w:r>
              <w:rPr>
                <w:rFonts w:hint="eastAsia" w:ascii="宋体" w:hAnsi="宋体" w:cs="宋体"/>
                <w:color w:val="auto"/>
                <w:kern w:val="0"/>
                <w:sz w:val="24"/>
                <w:szCs w:val="24"/>
              </w:rPr>
              <w:t>质量指标</w:t>
            </w:r>
          </w:p>
        </w:tc>
        <w:tc>
          <w:tcPr>
            <w:tcW w:w="3132" w:type="dxa"/>
            <w:noWrap/>
            <w:vAlign w:val="center"/>
          </w:tcPr>
          <w:p w14:paraId="444A9DE7">
            <w:pPr>
              <w:widowControl/>
              <w:jc w:val="center"/>
              <w:textAlignment w:val="center"/>
              <w:rPr>
                <w:rFonts w:ascii="宋体" w:hAnsi="宋体"/>
                <w:color w:val="auto"/>
                <w:sz w:val="24"/>
              </w:rPr>
            </w:pPr>
            <w:r>
              <w:rPr>
                <w:rFonts w:hint="eastAsia" w:ascii="宋体" w:hAnsi="宋体" w:cs="宋体"/>
                <w:color w:val="auto"/>
                <w:kern w:val="0"/>
                <w:sz w:val="24"/>
                <w:szCs w:val="24"/>
              </w:rPr>
              <w:t>绿化养护达标率（%）</w:t>
            </w:r>
          </w:p>
        </w:tc>
        <w:tc>
          <w:tcPr>
            <w:tcW w:w="1596" w:type="dxa"/>
            <w:noWrap/>
            <w:vAlign w:val="center"/>
          </w:tcPr>
          <w:p w14:paraId="50B18EEE">
            <w:pPr>
              <w:widowControl/>
              <w:jc w:val="center"/>
              <w:textAlignment w:val="center"/>
              <w:rPr>
                <w:rFonts w:ascii="宋体" w:hAnsi="宋体"/>
                <w:color w:val="auto"/>
                <w:sz w:val="24"/>
              </w:rPr>
            </w:pPr>
            <w:r>
              <w:rPr>
                <w:rFonts w:hint="eastAsia" w:ascii="宋体" w:hAnsi="宋体" w:cs="宋体"/>
                <w:color w:val="auto"/>
                <w:kern w:val="0"/>
                <w:sz w:val="24"/>
                <w:szCs w:val="24"/>
              </w:rPr>
              <w:t>90%</w:t>
            </w:r>
          </w:p>
        </w:tc>
      </w:tr>
      <w:tr w14:paraId="0671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80" w:type="pct"/>
            <w:vMerge w:val="continue"/>
            <w:noWrap/>
            <w:vAlign w:val="center"/>
          </w:tcPr>
          <w:p w14:paraId="545DAA46">
            <w:pPr>
              <w:jc w:val="center"/>
              <w:rPr>
                <w:rFonts w:ascii="宋体" w:hAnsi="宋体"/>
                <w:color w:val="auto"/>
                <w:sz w:val="24"/>
              </w:rPr>
            </w:pPr>
          </w:p>
        </w:tc>
        <w:tc>
          <w:tcPr>
            <w:tcW w:w="2376" w:type="dxa"/>
            <w:noWrap/>
            <w:vAlign w:val="center"/>
          </w:tcPr>
          <w:p w14:paraId="5B2C470C">
            <w:pPr>
              <w:widowControl/>
              <w:jc w:val="center"/>
              <w:textAlignment w:val="bottom"/>
              <w:rPr>
                <w:rFonts w:ascii="宋体" w:hAnsi="宋体"/>
                <w:color w:val="auto"/>
                <w:sz w:val="24"/>
              </w:rPr>
            </w:pPr>
            <w:r>
              <w:rPr>
                <w:rFonts w:hint="eastAsia" w:ascii="宋体" w:hAnsi="宋体" w:cs="宋体"/>
                <w:color w:val="auto"/>
                <w:kern w:val="0"/>
                <w:sz w:val="24"/>
                <w:szCs w:val="24"/>
              </w:rPr>
              <w:t>时效</w:t>
            </w:r>
            <w:r>
              <w:rPr>
                <w:rStyle w:val="20"/>
                <w:rFonts w:hint="default"/>
                <w:color w:val="auto"/>
              </w:rPr>
              <w:t>指标</w:t>
            </w:r>
          </w:p>
        </w:tc>
        <w:tc>
          <w:tcPr>
            <w:tcW w:w="3132" w:type="dxa"/>
            <w:noWrap/>
            <w:vAlign w:val="center"/>
          </w:tcPr>
          <w:p w14:paraId="66B37703">
            <w:pPr>
              <w:widowControl/>
              <w:jc w:val="center"/>
              <w:textAlignment w:val="center"/>
              <w:rPr>
                <w:rFonts w:ascii="宋体" w:hAnsi="宋体"/>
                <w:color w:val="auto"/>
                <w:sz w:val="24"/>
              </w:rPr>
            </w:pPr>
            <w:r>
              <w:rPr>
                <w:rFonts w:hint="eastAsia" w:ascii="宋体" w:hAnsi="宋体" w:cs="宋体"/>
                <w:color w:val="auto"/>
                <w:kern w:val="0"/>
                <w:sz w:val="24"/>
                <w:szCs w:val="24"/>
              </w:rPr>
              <w:t>投诉处理时效（天）</w:t>
            </w:r>
          </w:p>
        </w:tc>
        <w:tc>
          <w:tcPr>
            <w:tcW w:w="1596" w:type="dxa"/>
            <w:noWrap/>
            <w:vAlign w:val="center"/>
          </w:tcPr>
          <w:p w14:paraId="79969B4E">
            <w:pPr>
              <w:widowControl/>
              <w:jc w:val="center"/>
              <w:textAlignment w:val="center"/>
              <w:rPr>
                <w:rFonts w:ascii="宋体" w:hAnsi="宋体"/>
                <w:color w:val="auto"/>
                <w:sz w:val="24"/>
              </w:rPr>
            </w:pPr>
            <w:r>
              <w:rPr>
                <w:rFonts w:hint="eastAsia" w:ascii="宋体" w:hAnsi="宋体" w:cs="宋体"/>
                <w:color w:val="auto"/>
                <w:kern w:val="0"/>
                <w:sz w:val="24"/>
                <w:szCs w:val="24"/>
              </w:rPr>
              <w:t>3天</w:t>
            </w:r>
          </w:p>
        </w:tc>
      </w:tr>
      <w:tr w14:paraId="202F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80" w:type="pct"/>
            <w:vMerge w:val="restart"/>
            <w:noWrap/>
            <w:vAlign w:val="center"/>
          </w:tcPr>
          <w:p w14:paraId="6169DC8F">
            <w:pPr>
              <w:jc w:val="center"/>
              <w:rPr>
                <w:rFonts w:ascii="宋体" w:hAnsi="宋体" w:cs="宋体"/>
                <w:color w:val="auto"/>
                <w:sz w:val="24"/>
              </w:rPr>
            </w:pPr>
            <w:r>
              <w:rPr>
                <w:rFonts w:hint="eastAsia" w:ascii="宋体" w:hAnsi="宋体"/>
                <w:color w:val="auto"/>
                <w:sz w:val="24"/>
              </w:rPr>
              <w:t>效益指标</w:t>
            </w:r>
          </w:p>
        </w:tc>
        <w:tc>
          <w:tcPr>
            <w:tcW w:w="2376" w:type="dxa"/>
            <w:noWrap/>
            <w:vAlign w:val="center"/>
          </w:tcPr>
          <w:p w14:paraId="27AFF3FF">
            <w:pPr>
              <w:widowControl/>
              <w:jc w:val="center"/>
              <w:textAlignment w:val="bottom"/>
              <w:rPr>
                <w:rFonts w:ascii="宋体" w:hAnsi="宋体"/>
                <w:color w:val="auto"/>
                <w:kern w:val="0"/>
                <w:sz w:val="24"/>
              </w:rPr>
            </w:pPr>
            <w:r>
              <w:rPr>
                <w:rFonts w:hint="eastAsia" w:ascii="宋体" w:hAnsi="宋体" w:cs="宋体"/>
                <w:color w:val="auto"/>
                <w:kern w:val="0"/>
                <w:sz w:val="24"/>
                <w:szCs w:val="24"/>
              </w:rPr>
              <w:t>社会效益指标</w:t>
            </w:r>
          </w:p>
        </w:tc>
        <w:tc>
          <w:tcPr>
            <w:tcW w:w="3132" w:type="dxa"/>
            <w:noWrap/>
            <w:vAlign w:val="center"/>
          </w:tcPr>
          <w:p w14:paraId="6F41D819">
            <w:pPr>
              <w:widowControl/>
              <w:jc w:val="center"/>
              <w:textAlignment w:val="center"/>
              <w:rPr>
                <w:rFonts w:ascii="宋体" w:hAnsi="宋体"/>
                <w:color w:val="auto"/>
                <w:sz w:val="24"/>
              </w:rPr>
            </w:pPr>
            <w:r>
              <w:rPr>
                <w:rFonts w:hint="eastAsia" w:ascii="宋体" w:hAnsi="宋体" w:cs="宋体"/>
                <w:color w:val="auto"/>
                <w:kern w:val="0"/>
                <w:sz w:val="24"/>
                <w:szCs w:val="24"/>
              </w:rPr>
              <w:t>校区安全事件发生率（%）</w:t>
            </w:r>
          </w:p>
        </w:tc>
        <w:tc>
          <w:tcPr>
            <w:tcW w:w="1596" w:type="dxa"/>
            <w:noWrap/>
            <w:vAlign w:val="center"/>
          </w:tcPr>
          <w:p w14:paraId="251B1166">
            <w:pPr>
              <w:widowControl/>
              <w:jc w:val="center"/>
              <w:textAlignment w:val="center"/>
              <w:rPr>
                <w:rFonts w:ascii="宋体" w:hAnsi="宋体"/>
                <w:color w:val="auto"/>
                <w:sz w:val="24"/>
              </w:rPr>
            </w:pPr>
            <w:r>
              <w:rPr>
                <w:rFonts w:hint="eastAsia" w:ascii="宋体" w:hAnsi="宋体" w:cs="宋体"/>
                <w:color w:val="auto"/>
                <w:kern w:val="0"/>
                <w:sz w:val="24"/>
                <w:szCs w:val="24"/>
              </w:rPr>
              <w:t>5%</w:t>
            </w:r>
          </w:p>
        </w:tc>
      </w:tr>
      <w:tr w14:paraId="4715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80" w:type="pct"/>
            <w:vMerge w:val="continue"/>
            <w:noWrap/>
            <w:vAlign w:val="center"/>
          </w:tcPr>
          <w:p w14:paraId="4C77ABEB">
            <w:pPr>
              <w:jc w:val="center"/>
              <w:rPr>
                <w:rFonts w:ascii="宋体" w:hAnsi="宋体"/>
                <w:color w:val="auto"/>
                <w:sz w:val="24"/>
              </w:rPr>
            </w:pPr>
          </w:p>
        </w:tc>
        <w:tc>
          <w:tcPr>
            <w:tcW w:w="2376" w:type="dxa"/>
            <w:noWrap/>
            <w:vAlign w:val="center"/>
          </w:tcPr>
          <w:p w14:paraId="0D3B586B">
            <w:pPr>
              <w:widowControl/>
              <w:jc w:val="center"/>
              <w:textAlignment w:val="top"/>
              <w:rPr>
                <w:color w:val="auto"/>
              </w:rPr>
            </w:pPr>
            <w:r>
              <w:rPr>
                <w:rFonts w:hint="eastAsia" w:ascii="宋体" w:hAnsi="宋体" w:cs="宋体"/>
                <w:color w:val="auto"/>
                <w:kern w:val="0"/>
                <w:sz w:val="24"/>
                <w:szCs w:val="24"/>
              </w:rPr>
              <w:t>社会效益指标</w:t>
            </w:r>
          </w:p>
        </w:tc>
        <w:tc>
          <w:tcPr>
            <w:tcW w:w="3132" w:type="dxa"/>
            <w:tcBorders>
              <w:top w:val="single" w:color="auto" w:sz="4" w:space="0"/>
              <w:left w:val="single" w:color="auto" w:sz="4" w:space="0"/>
              <w:bottom w:val="single" w:color="auto" w:sz="4" w:space="0"/>
              <w:right w:val="single" w:color="auto" w:sz="4" w:space="0"/>
            </w:tcBorders>
            <w:noWrap/>
            <w:vAlign w:val="center"/>
          </w:tcPr>
          <w:p w14:paraId="5CF54D17">
            <w:pPr>
              <w:widowControl/>
              <w:jc w:val="center"/>
              <w:textAlignment w:val="center"/>
              <w:rPr>
                <w:rFonts w:ascii="宋体" w:hAnsi="宋体"/>
                <w:color w:val="auto"/>
                <w:sz w:val="24"/>
              </w:rPr>
            </w:pPr>
            <w:r>
              <w:rPr>
                <w:rFonts w:hint="eastAsia" w:ascii="宋体" w:hAnsi="宋体" w:cs="宋体"/>
                <w:color w:val="auto"/>
                <w:kern w:val="0"/>
                <w:sz w:val="24"/>
                <w:szCs w:val="24"/>
              </w:rPr>
              <w:t>师生投诉率（%）</w:t>
            </w:r>
          </w:p>
        </w:tc>
        <w:tc>
          <w:tcPr>
            <w:tcW w:w="1596" w:type="dxa"/>
            <w:tcBorders>
              <w:top w:val="single" w:color="auto" w:sz="4" w:space="0"/>
              <w:left w:val="single" w:color="auto" w:sz="4" w:space="0"/>
              <w:bottom w:val="single" w:color="auto" w:sz="4" w:space="0"/>
              <w:right w:val="single" w:color="auto" w:sz="4" w:space="0"/>
            </w:tcBorders>
            <w:noWrap/>
            <w:vAlign w:val="center"/>
          </w:tcPr>
          <w:p w14:paraId="25BAEB57">
            <w:pPr>
              <w:widowControl/>
              <w:jc w:val="center"/>
              <w:textAlignment w:val="center"/>
              <w:rPr>
                <w:rFonts w:ascii="宋体" w:hAnsi="宋体"/>
                <w:color w:val="auto"/>
                <w:sz w:val="24"/>
              </w:rPr>
            </w:pPr>
            <w:r>
              <w:rPr>
                <w:rFonts w:hint="eastAsia" w:ascii="宋体" w:hAnsi="宋体" w:cs="宋体"/>
                <w:color w:val="auto"/>
                <w:kern w:val="0"/>
                <w:sz w:val="24"/>
                <w:szCs w:val="24"/>
              </w:rPr>
              <w:t>5%</w:t>
            </w:r>
          </w:p>
        </w:tc>
      </w:tr>
      <w:tr w14:paraId="7066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80" w:type="pct"/>
            <w:noWrap/>
            <w:vAlign w:val="center"/>
          </w:tcPr>
          <w:p w14:paraId="347FFA28">
            <w:pPr>
              <w:jc w:val="left"/>
              <w:rPr>
                <w:rFonts w:ascii="宋体" w:hAnsi="宋体"/>
                <w:color w:val="auto"/>
                <w:kern w:val="0"/>
                <w:sz w:val="24"/>
              </w:rPr>
            </w:pPr>
            <w:r>
              <w:rPr>
                <w:rFonts w:hint="eastAsia" w:ascii="宋体" w:hAnsi="宋体"/>
                <w:color w:val="auto"/>
                <w:sz w:val="24"/>
              </w:rPr>
              <w:t>满意度指标</w:t>
            </w:r>
          </w:p>
        </w:tc>
        <w:tc>
          <w:tcPr>
            <w:tcW w:w="2376" w:type="dxa"/>
            <w:tcBorders>
              <w:top w:val="single" w:color="auto" w:sz="4" w:space="0"/>
              <w:left w:val="single" w:color="auto" w:sz="4" w:space="0"/>
              <w:bottom w:val="single" w:color="auto" w:sz="4" w:space="0"/>
              <w:right w:val="single" w:color="auto" w:sz="4" w:space="0"/>
            </w:tcBorders>
            <w:noWrap/>
            <w:vAlign w:val="center"/>
          </w:tcPr>
          <w:p w14:paraId="6DA709AF">
            <w:pPr>
              <w:widowControl/>
              <w:jc w:val="center"/>
              <w:textAlignment w:val="bottom"/>
              <w:rPr>
                <w:rFonts w:ascii="宋体" w:hAnsi="宋体"/>
                <w:color w:val="auto"/>
                <w:sz w:val="24"/>
              </w:rPr>
            </w:pPr>
            <w:r>
              <w:rPr>
                <w:rFonts w:hint="eastAsia" w:ascii="宋体" w:hAnsi="宋体" w:cs="宋体"/>
                <w:color w:val="auto"/>
                <w:kern w:val="0"/>
                <w:sz w:val="24"/>
                <w:szCs w:val="24"/>
              </w:rPr>
              <w:t>服务对象满意度指标</w:t>
            </w:r>
          </w:p>
        </w:tc>
        <w:tc>
          <w:tcPr>
            <w:tcW w:w="3132" w:type="dxa"/>
            <w:tcBorders>
              <w:top w:val="single" w:color="auto" w:sz="4" w:space="0"/>
              <w:left w:val="nil"/>
              <w:bottom w:val="single" w:color="auto" w:sz="4" w:space="0"/>
              <w:right w:val="single" w:color="auto" w:sz="4" w:space="0"/>
            </w:tcBorders>
            <w:noWrap/>
            <w:vAlign w:val="center"/>
          </w:tcPr>
          <w:p w14:paraId="631F0780">
            <w:pPr>
              <w:widowControl/>
              <w:jc w:val="center"/>
              <w:textAlignment w:val="center"/>
              <w:rPr>
                <w:rFonts w:ascii="宋体" w:hAnsi="宋体"/>
                <w:color w:val="auto"/>
                <w:sz w:val="24"/>
              </w:rPr>
            </w:pPr>
            <w:r>
              <w:rPr>
                <w:rFonts w:hint="eastAsia" w:ascii="宋体" w:hAnsi="宋体" w:cs="宋体"/>
                <w:color w:val="auto"/>
                <w:kern w:val="0"/>
                <w:sz w:val="24"/>
                <w:szCs w:val="24"/>
              </w:rPr>
              <w:t>师生满意率（%）</w:t>
            </w:r>
          </w:p>
        </w:tc>
        <w:tc>
          <w:tcPr>
            <w:tcW w:w="1596" w:type="dxa"/>
            <w:tcBorders>
              <w:top w:val="single" w:color="auto" w:sz="4" w:space="0"/>
              <w:left w:val="single" w:color="auto" w:sz="4" w:space="0"/>
              <w:bottom w:val="single" w:color="auto" w:sz="4" w:space="0"/>
              <w:right w:val="single" w:color="auto" w:sz="4" w:space="0"/>
            </w:tcBorders>
            <w:noWrap/>
            <w:vAlign w:val="center"/>
          </w:tcPr>
          <w:p w14:paraId="375A2C73">
            <w:pPr>
              <w:widowControl/>
              <w:jc w:val="center"/>
              <w:textAlignment w:val="center"/>
              <w:rPr>
                <w:rFonts w:ascii="宋体" w:hAnsi="宋体"/>
                <w:color w:val="auto"/>
                <w:sz w:val="24"/>
              </w:rPr>
            </w:pPr>
            <w:r>
              <w:rPr>
                <w:rFonts w:hint="eastAsia" w:ascii="宋体" w:hAnsi="宋体" w:cs="宋体"/>
                <w:color w:val="auto"/>
                <w:kern w:val="0"/>
                <w:sz w:val="24"/>
                <w:szCs w:val="24"/>
              </w:rPr>
              <w:t>95%</w:t>
            </w:r>
          </w:p>
        </w:tc>
      </w:tr>
    </w:tbl>
    <w:p w14:paraId="2FEEB48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cs="仿宋_GB2312"/>
          <w:color w:val="auto"/>
          <w:sz w:val="32"/>
          <w:szCs w:val="32"/>
          <w:shd w:val="clear" w:color="auto" w:fill="FFFFFF"/>
          <w:lang w:val="en-US" w:eastAsia="zh-CN"/>
        </w:rPr>
      </w:pPr>
      <w:r>
        <w:rPr>
          <w:rFonts w:hint="eastAsia" w:cs="仿宋_GB2312"/>
          <w:color w:val="auto"/>
          <w:sz w:val="32"/>
          <w:szCs w:val="32"/>
          <w:shd w:val="clear" w:color="auto" w:fill="FFFFFF"/>
          <w:lang w:val="en-US" w:eastAsia="zh-CN"/>
        </w:rPr>
        <w:t>后勤保障项目</w:t>
      </w:r>
      <w:r>
        <w:rPr>
          <w:rFonts w:cs="仿宋_GB2312"/>
          <w:color w:val="auto"/>
          <w:sz w:val="32"/>
          <w:szCs w:val="32"/>
          <w:shd w:val="clear" w:color="auto" w:fill="FFFFFF"/>
        </w:rPr>
        <w:t>项目绩效</w:t>
      </w:r>
      <w:r>
        <w:rPr>
          <w:rFonts w:hint="eastAsia" w:cs="仿宋_GB2312"/>
          <w:color w:val="auto"/>
          <w:sz w:val="32"/>
          <w:szCs w:val="32"/>
          <w:shd w:val="clear" w:color="auto" w:fill="FFFFFF"/>
          <w:lang w:val="en-US" w:eastAsia="zh-CN"/>
        </w:rPr>
        <w:t>自评表：</w:t>
      </w:r>
    </w:p>
    <w:tbl>
      <w:tblPr>
        <w:tblStyle w:val="9"/>
        <w:tblW w:w="9501" w:type="dxa"/>
        <w:tblInd w:w="23" w:type="dxa"/>
        <w:tblLayout w:type="fixed"/>
        <w:tblCellMar>
          <w:top w:w="0" w:type="dxa"/>
          <w:left w:w="108" w:type="dxa"/>
          <w:bottom w:w="0" w:type="dxa"/>
          <w:right w:w="108" w:type="dxa"/>
        </w:tblCellMar>
      </w:tblPr>
      <w:tblGrid>
        <w:gridCol w:w="1494"/>
        <w:gridCol w:w="1001"/>
        <w:gridCol w:w="1439"/>
        <w:gridCol w:w="893"/>
        <w:gridCol w:w="1930"/>
        <w:gridCol w:w="849"/>
        <w:gridCol w:w="1895"/>
      </w:tblGrid>
      <w:tr w14:paraId="45969862">
        <w:tblPrEx>
          <w:tblCellMar>
            <w:top w:w="0" w:type="dxa"/>
            <w:left w:w="108" w:type="dxa"/>
            <w:bottom w:w="0" w:type="dxa"/>
            <w:right w:w="108" w:type="dxa"/>
          </w:tblCellMar>
        </w:tblPrEx>
        <w:trPr>
          <w:trHeight w:val="284" w:hRule="atLeast"/>
          <w:tblHeader/>
        </w:trPr>
        <w:tc>
          <w:tcPr>
            <w:tcW w:w="1489" w:type="dxa"/>
            <w:tcBorders>
              <w:top w:val="single" w:color="000000" w:sz="4" w:space="0"/>
              <w:left w:val="single" w:color="000000" w:sz="4" w:space="0"/>
              <w:right w:val="single" w:color="000000" w:sz="4" w:space="0"/>
            </w:tcBorders>
            <w:vAlign w:val="center"/>
          </w:tcPr>
          <w:p w14:paraId="4AEE15B6">
            <w:pPr>
              <w:autoSpaceDN w:val="0"/>
              <w:spacing w:line="440" w:lineRule="exact"/>
              <w:jc w:val="center"/>
              <w:textAlignment w:val="center"/>
              <w:rPr>
                <w:rFonts w:ascii="宋体" w:hAnsi="宋体"/>
                <w:bCs/>
                <w:color w:val="auto"/>
                <w:sz w:val="24"/>
              </w:rPr>
            </w:pPr>
            <w:r>
              <w:rPr>
                <w:rFonts w:hint="eastAsia" w:ascii="宋体" w:hAnsi="宋体"/>
                <w:bCs/>
                <w:color w:val="auto"/>
                <w:sz w:val="24"/>
              </w:rPr>
              <w:t>一级指标</w:t>
            </w:r>
          </w:p>
        </w:tc>
        <w:tc>
          <w:tcPr>
            <w:tcW w:w="998" w:type="dxa"/>
            <w:tcBorders>
              <w:top w:val="single" w:color="000000" w:sz="4" w:space="0"/>
              <w:left w:val="single" w:color="000000" w:sz="4" w:space="0"/>
              <w:right w:val="single" w:color="000000" w:sz="4" w:space="0"/>
            </w:tcBorders>
            <w:vAlign w:val="center"/>
          </w:tcPr>
          <w:p w14:paraId="63EB1BE0">
            <w:pPr>
              <w:autoSpaceDN w:val="0"/>
              <w:spacing w:line="440" w:lineRule="exact"/>
              <w:jc w:val="center"/>
              <w:textAlignment w:val="center"/>
              <w:rPr>
                <w:rFonts w:ascii="宋体" w:hAnsi="宋体"/>
                <w:bCs/>
                <w:color w:val="auto"/>
                <w:sz w:val="24"/>
              </w:rPr>
            </w:pPr>
            <w:r>
              <w:rPr>
                <w:rFonts w:hint="eastAsia" w:ascii="宋体" w:hAnsi="宋体"/>
                <w:bCs/>
                <w:color w:val="auto"/>
                <w:sz w:val="24"/>
              </w:rPr>
              <w:t>分值</w:t>
            </w:r>
          </w:p>
        </w:tc>
        <w:tc>
          <w:tcPr>
            <w:tcW w:w="1435" w:type="dxa"/>
            <w:tcBorders>
              <w:top w:val="single" w:color="000000" w:sz="4" w:space="0"/>
              <w:left w:val="single" w:color="000000" w:sz="4" w:space="0"/>
              <w:bottom w:val="single" w:color="000000" w:sz="4" w:space="0"/>
              <w:right w:val="single" w:color="000000" w:sz="4" w:space="0"/>
            </w:tcBorders>
            <w:vAlign w:val="center"/>
          </w:tcPr>
          <w:p w14:paraId="51884945">
            <w:pPr>
              <w:autoSpaceDN w:val="0"/>
              <w:spacing w:line="440" w:lineRule="exact"/>
              <w:jc w:val="center"/>
              <w:textAlignment w:val="center"/>
              <w:rPr>
                <w:rFonts w:ascii="宋体" w:hAnsi="宋体"/>
                <w:bCs/>
                <w:color w:val="auto"/>
                <w:sz w:val="24"/>
              </w:rPr>
            </w:pPr>
            <w:r>
              <w:rPr>
                <w:rFonts w:hint="eastAsia" w:ascii="宋体" w:hAnsi="宋体"/>
                <w:bCs/>
                <w:color w:val="auto"/>
                <w:sz w:val="24"/>
              </w:rPr>
              <w:t>二级指标</w:t>
            </w:r>
          </w:p>
        </w:tc>
        <w:tc>
          <w:tcPr>
            <w:tcW w:w="890" w:type="dxa"/>
            <w:tcBorders>
              <w:top w:val="single" w:color="000000" w:sz="4" w:space="0"/>
              <w:left w:val="single" w:color="000000" w:sz="4" w:space="0"/>
              <w:bottom w:val="single" w:color="000000" w:sz="4" w:space="0"/>
              <w:right w:val="single" w:color="000000" w:sz="4" w:space="0"/>
            </w:tcBorders>
            <w:vAlign w:val="center"/>
          </w:tcPr>
          <w:p w14:paraId="5874ACB5">
            <w:pPr>
              <w:autoSpaceDN w:val="0"/>
              <w:spacing w:line="440" w:lineRule="exact"/>
              <w:jc w:val="center"/>
              <w:textAlignment w:val="center"/>
              <w:rPr>
                <w:rFonts w:ascii="宋体" w:hAnsi="宋体"/>
                <w:bCs/>
                <w:color w:val="auto"/>
                <w:sz w:val="24"/>
              </w:rPr>
            </w:pPr>
            <w:r>
              <w:rPr>
                <w:rFonts w:hint="eastAsia" w:ascii="宋体" w:hAnsi="宋体"/>
                <w:bCs/>
                <w:color w:val="auto"/>
                <w:sz w:val="24"/>
              </w:rPr>
              <w:t>分值</w:t>
            </w:r>
          </w:p>
        </w:tc>
        <w:tc>
          <w:tcPr>
            <w:tcW w:w="1925" w:type="dxa"/>
            <w:tcBorders>
              <w:top w:val="single" w:color="000000" w:sz="4" w:space="0"/>
              <w:left w:val="single" w:color="000000" w:sz="4" w:space="0"/>
              <w:bottom w:val="single" w:color="000000" w:sz="4" w:space="0"/>
              <w:right w:val="single" w:color="000000" w:sz="4" w:space="0"/>
            </w:tcBorders>
            <w:vAlign w:val="center"/>
          </w:tcPr>
          <w:p w14:paraId="70FEA7C0">
            <w:pPr>
              <w:autoSpaceDN w:val="0"/>
              <w:spacing w:line="440" w:lineRule="exact"/>
              <w:jc w:val="center"/>
              <w:textAlignment w:val="center"/>
              <w:rPr>
                <w:rFonts w:ascii="宋体" w:hAnsi="宋体"/>
                <w:bCs/>
                <w:color w:val="auto"/>
                <w:sz w:val="24"/>
              </w:rPr>
            </w:pPr>
            <w:r>
              <w:rPr>
                <w:rFonts w:hint="eastAsia" w:ascii="宋体" w:hAnsi="宋体"/>
                <w:bCs/>
                <w:color w:val="auto"/>
                <w:sz w:val="24"/>
              </w:rPr>
              <w:t>三级指标</w:t>
            </w:r>
          </w:p>
        </w:tc>
        <w:tc>
          <w:tcPr>
            <w:tcW w:w="847" w:type="dxa"/>
            <w:tcBorders>
              <w:top w:val="single" w:color="000000" w:sz="4" w:space="0"/>
              <w:left w:val="single" w:color="000000" w:sz="4" w:space="0"/>
              <w:bottom w:val="single" w:color="000000" w:sz="4" w:space="0"/>
              <w:right w:val="single" w:color="000000" w:sz="4" w:space="0"/>
            </w:tcBorders>
            <w:vAlign w:val="center"/>
          </w:tcPr>
          <w:p w14:paraId="121A7666">
            <w:pPr>
              <w:autoSpaceDN w:val="0"/>
              <w:spacing w:line="440" w:lineRule="exact"/>
              <w:jc w:val="center"/>
              <w:textAlignment w:val="center"/>
              <w:rPr>
                <w:rFonts w:ascii="宋体" w:hAnsi="宋体"/>
                <w:bCs/>
                <w:color w:val="auto"/>
                <w:sz w:val="24"/>
              </w:rPr>
            </w:pPr>
            <w:r>
              <w:rPr>
                <w:rFonts w:hint="eastAsia" w:ascii="宋体" w:hAnsi="宋体"/>
                <w:bCs/>
                <w:color w:val="auto"/>
                <w:sz w:val="24"/>
              </w:rPr>
              <w:t>分值</w:t>
            </w:r>
          </w:p>
        </w:tc>
        <w:tc>
          <w:tcPr>
            <w:tcW w:w="1890" w:type="dxa"/>
            <w:tcBorders>
              <w:top w:val="single" w:color="000000" w:sz="4" w:space="0"/>
              <w:left w:val="single" w:color="000000" w:sz="4" w:space="0"/>
              <w:bottom w:val="single" w:color="000000" w:sz="4" w:space="0"/>
              <w:right w:val="single" w:color="000000" w:sz="4" w:space="0"/>
            </w:tcBorders>
            <w:vAlign w:val="center"/>
          </w:tcPr>
          <w:p w14:paraId="3E527101">
            <w:pPr>
              <w:autoSpaceDN w:val="0"/>
              <w:spacing w:line="440" w:lineRule="exact"/>
              <w:jc w:val="center"/>
              <w:textAlignment w:val="center"/>
              <w:rPr>
                <w:rFonts w:ascii="宋体" w:hAnsi="宋体"/>
                <w:bCs/>
                <w:color w:val="auto"/>
                <w:sz w:val="24"/>
              </w:rPr>
            </w:pPr>
            <w:r>
              <w:rPr>
                <w:rFonts w:hint="eastAsia" w:ascii="宋体" w:hAnsi="宋体"/>
                <w:bCs/>
                <w:color w:val="auto"/>
                <w:sz w:val="24"/>
              </w:rPr>
              <w:t>得分</w:t>
            </w:r>
          </w:p>
        </w:tc>
      </w:tr>
      <w:tr w14:paraId="7B873C81">
        <w:tblPrEx>
          <w:tblCellMar>
            <w:top w:w="0" w:type="dxa"/>
            <w:left w:w="108" w:type="dxa"/>
            <w:bottom w:w="0" w:type="dxa"/>
            <w:right w:w="108" w:type="dxa"/>
          </w:tblCellMar>
        </w:tblPrEx>
        <w:trPr>
          <w:trHeight w:val="284" w:hRule="atLeast"/>
        </w:trPr>
        <w:tc>
          <w:tcPr>
            <w:tcW w:w="1489" w:type="dxa"/>
            <w:vMerge w:val="restart"/>
            <w:tcBorders>
              <w:top w:val="single" w:color="000000" w:sz="4" w:space="0"/>
              <w:left w:val="single" w:color="000000" w:sz="4" w:space="0"/>
              <w:bottom w:val="single" w:color="000000" w:sz="4" w:space="0"/>
              <w:right w:val="single" w:color="000000" w:sz="4" w:space="0"/>
            </w:tcBorders>
            <w:vAlign w:val="center"/>
          </w:tcPr>
          <w:p w14:paraId="286E54CC">
            <w:pPr>
              <w:autoSpaceDN w:val="0"/>
              <w:spacing w:line="440" w:lineRule="exact"/>
              <w:jc w:val="center"/>
              <w:textAlignment w:val="center"/>
              <w:rPr>
                <w:rFonts w:ascii="宋体" w:hAnsi="宋体"/>
                <w:color w:val="auto"/>
                <w:sz w:val="24"/>
              </w:rPr>
            </w:pPr>
            <w:r>
              <w:rPr>
                <w:rFonts w:hint="eastAsia" w:ascii="宋体" w:hAnsi="宋体"/>
                <w:color w:val="auto"/>
                <w:sz w:val="24"/>
              </w:rPr>
              <w:t>项目决策</w:t>
            </w:r>
          </w:p>
        </w:tc>
        <w:tc>
          <w:tcPr>
            <w:tcW w:w="998" w:type="dxa"/>
            <w:vMerge w:val="restart"/>
            <w:tcBorders>
              <w:top w:val="single" w:color="000000" w:sz="4" w:space="0"/>
              <w:left w:val="single" w:color="000000" w:sz="4" w:space="0"/>
              <w:bottom w:val="single" w:color="000000" w:sz="4" w:space="0"/>
              <w:right w:val="single" w:color="000000" w:sz="4" w:space="0"/>
            </w:tcBorders>
            <w:vAlign w:val="center"/>
          </w:tcPr>
          <w:p w14:paraId="3C406C75">
            <w:pPr>
              <w:autoSpaceDN w:val="0"/>
              <w:spacing w:line="440" w:lineRule="exact"/>
              <w:jc w:val="center"/>
              <w:textAlignment w:val="center"/>
              <w:rPr>
                <w:rFonts w:ascii="宋体" w:hAnsi="宋体"/>
                <w:color w:val="auto"/>
                <w:sz w:val="24"/>
              </w:rPr>
            </w:pPr>
            <w:r>
              <w:rPr>
                <w:rFonts w:hint="eastAsia" w:ascii="宋体" w:hAnsi="宋体"/>
                <w:color w:val="auto"/>
                <w:sz w:val="24"/>
              </w:rPr>
              <w:t>33</w:t>
            </w:r>
          </w:p>
        </w:tc>
        <w:tc>
          <w:tcPr>
            <w:tcW w:w="1435" w:type="dxa"/>
            <w:tcBorders>
              <w:top w:val="single" w:color="000000" w:sz="4" w:space="0"/>
              <w:left w:val="single" w:color="000000" w:sz="4" w:space="0"/>
              <w:bottom w:val="single" w:color="000000" w:sz="4" w:space="0"/>
              <w:right w:val="single" w:color="000000" w:sz="4" w:space="0"/>
            </w:tcBorders>
            <w:vAlign w:val="center"/>
          </w:tcPr>
          <w:p w14:paraId="31418120">
            <w:pPr>
              <w:autoSpaceDN w:val="0"/>
              <w:spacing w:line="440" w:lineRule="exact"/>
              <w:jc w:val="center"/>
              <w:textAlignment w:val="center"/>
              <w:rPr>
                <w:rFonts w:ascii="宋体" w:hAnsi="宋体"/>
                <w:color w:val="auto"/>
                <w:sz w:val="24"/>
              </w:rPr>
            </w:pPr>
            <w:r>
              <w:rPr>
                <w:rFonts w:hint="eastAsia" w:ascii="宋体" w:hAnsi="宋体"/>
                <w:color w:val="auto"/>
                <w:sz w:val="24"/>
              </w:rPr>
              <w:t>项目目标</w:t>
            </w:r>
            <w:r>
              <w:rPr>
                <w:rFonts w:ascii="宋体" w:hAnsi="宋体"/>
                <w:color w:val="auto"/>
                <w:sz w:val="24"/>
              </w:rPr>
              <w:fldChar w:fldCharType="begin"/>
            </w:r>
            <w:r>
              <w:rPr>
                <w:rFonts w:ascii="宋体" w:hAnsi="宋体"/>
                <w:color w:val="auto"/>
                <w:sz w:val="24"/>
              </w:rPr>
              <w:instrText xml:space="preserve"> INCLUDEPICTURE  "G:\\..\\..\\..\\DOCUME~1\\ADMINI~1\\LOCALS~1\\Temp\\ksohtml\\clip_image1.png" \* MERGEFORMATINET </w:instrText>
            </w:r>
            <w:r>
              <w:rPr>
                <w:rFonts w:ascii="宋体" w:hAnsi="宋体"/>
                <w:color w:val="auto"/>
                <w:sz w:val="24"/>
              </w:rPr>
              <w:fldChar w:fldCharType="separate"/>
            </w:r>
            <w:r>
              <w:rPr>
                <w:rFonts w:hint="eastAsia" w:ascii="宋体" w:hAnsi="宋体"/>
                <w:color w:val="auto"/>
                <w:sz w:val="24"/>
              </w:rPr>
              <w:drawing>
                <wp:inline distT="0" distB="0" distL="114300" distR="114300">
                  <wp:extent cx="19050" cy="1905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19050" cy="19050"/>
                          </a:xfrm>
                          <a:prstGeom prst="rect">
                            <a:avLst/>
                          </a:prstGeom>
                          <a:noFill/>
                          <a:ln>
                            <a:noFill/>
                          </a:ln>
                        </pic:spPr>
                      </pic:pic>
                    </a:graphicData>
                  </a:graphic>
                </wp:inline>
              </w:drawing>
            </w:r>
            <w:r>
              <w:rPr>
                <w:rFonts w:ascii="宋体" w:hAnsi="宋体"/>
                <w:color w:val="auto"/>
                <w:sz w:val="24"/>
              </w:rPr>
              <w:fldChar w:fldCharType="end"/>
            </w:r>
            <w:r>
              <w:rPr>
                <w:rFonts w:ascii="宋体" w:hAnsi="宋体"/>
                <w:color w:val="auto"/>
                <w:sz w:val="24"/>
              </w:rPr>
              <w:fldChar w:fldCharType="begin"/>
            </w:r>
            <w:r>
              <w:rPr>
                <w:rFonts w:ascii="宋体" w:hAnsi="宋体"/>
                <w:color w:val="auto"/>
                <w:sz w:val="24"/>
              </w:rPr>
              <w:instrText xml:space="preserve"> INCLUDEPICTURE  "G:\\..\\..\\..\\DOCUME~1\\ADMINI~1\\LOCALS~1\\Temp\\ksohtml\\clip_image2.png" \* MERGEFORMATINET </w:instrText>
            </w:r>
            <w:r>
              <w:rPr>
                <w:rFonts w:ascii="宋体" w:hAnsi="宋体"/>
                <w:color w:val="auto"/>
                <w:sz w:val="24"/>
              </w:rPr>
              <w:fldChar w:fldCharType="separate"/>
            </w:r>
            <w:r>
              <w:rPr>
                <w:rFonts w:hint="eastAsia" w:ascii="宋体" w:hAnsi="宋体"/>
                <w:color w:val="auto"/>
                <w:sz w:val="24"/>
              </w:rPr>
              <w:drawing>
                <wp:inline distT="0" distB="0" distL="114300" distR="114300">
                  <wp:extent cx="19050" cy="1905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19050" cy="19050"/>
                          </a:xfrm>
                          <a:prstGeom prst="rect">
                            <a:avLst/>
                          </a:prstGeom>
                          <a:noFill/>
                          <a:ln>
                            <a:noFill/>
                          </a:ln>
                        </pic:spPr>
                      </pic:pic>
                    </a:graphicData>
                  </a:graphic>
                </wp:inline>
              </w:drawing>
            </w:r>
            <w:r>
              <w:rPr>
                <w:rFonts w:ascii="宋体" w:hAnsi="宋体"/>
                <w:color w:val="auto"/>
                <w:sz w:val="24"/>
              </w:rPr>
              <w:fldChar w:fldCharType="end"/>
            </w:r>
            <w:r>
              <w:rPr>
                <w:rFonts w:ascii="宋体" w:hAnsi="宋体"/>
                <w:color w:val="auto"/>
                <w:sz w:val="24"/>
              </w:rPr>
              <w:fldChar w:fldCharType="begin"/>
            </w:r>
            <w:r>
              <w:rPr>
                <w:rFonts w:ascii="宋体" w:hAnsi="宋体"/>
                <w:color w:val="auto"/>
                <w:sz w:val="24"/>
              </w:rPr>
              <w:instrText xml:space="preserve"> INCLUDEPICTURE  "G:\\..\\..\\..\\DOCUME~1\\ADMINI~1\\LOCALS~1\\Temp\\ksohtml\\clip_image3.png" \* MERGEFORMATINET </w:instrText>
            </w:r>
            <w:r>
              <w:rPr>
                <w:rFonts w:ascii="宋体" w:hAnsi="宋体"/>
                <w:color w:val="auto"/>
                <w:sz w:val="24"/>
              </w:rPr>
              <w:fldChar w:fldCharType="separate"/>
            </w:r>
            <w:r>
              <w:rPr>
                <w:rFonts w:hint="eastAsia" w:ascii="宋体" w:hAnsi="宋体"/>
                <w:color w:val="auto"/>
                <w:sz w:val="24"/>
              </w:rPr>
              <w:drawing>
                <wp:inline distT="0" distB="0" distL="114300" distR="114300">
                  <wp:extent cx="19050" cy="1905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19050" cy="19050"/>
                          </a:xfrm>
                          <a:prstGeom prst="rect">
                            <a:avLst/>
                          </a:prstGeom>
                          <a:noFill/>
                          <a:ln>
                            <a:noFill/>
                          </a:ln>
                        </pic:spPr>
                      </pic:pic>
                    </a:graphicData>
                  </a:graphic>
                </wp:inline>
              </w:drawing>
            </w:r>
            <w:r>
              <w:rPr>
                <w:rFonts w:ascii="宋体" w:hAnsi="宋体"/>
                <w:color w:val="auto"/>
                <w:sz w:val="24"/>
              </w:rPr>
              <w:fldChar w:fldCharType="end"/>
            </w:r>
            <w:r>
              <w:rPr>
                <w:rFonts w:ascii="宋体" w:hAnsi="宋体"/>
                <w:color w:val="auto"/>
                <w:sz w:val="24"/>
              </w:rPr>
              <w:fldChar w:fldCharType="begin"/>
            </w:r>
            <w:r>
              <w:rPr>
                <w:rFonts w:ascii="宋体" w:hAnsi="宋体"/>
                <w:color w:val="auto"/>
                <w:sz w:val="24"/>
              </w:rPr>
              <w:instrText xml:space="preserve"> INCLUDEPICTURE  "G:\\..\\..\\..\\DOCUME~1\\ADMINI~1\\LOCALS~1\\Temp\\ksohtml\\clip_image5.png" \* MERGEFORMATINET </w:instrText>
            </w:r>
            <w:r>
              <w:rPr>
                <w:rFonts w:ascii="宋体" w:hAnsi="宋体"/>
                <w:color w:val="auto"/>
                <w:sz w:val="24"/>
              </w:rPr>
              <w:fldChar w:fldCharType="separate"/>
            </w:r>
            <w:r>
              <w:rPr>
                <w:rFonts w:hint="eastAsia" w:ascii="宋体" w:hAnsi="宋体"/>
                <w:color w:val="auto"/>
                <w:sz w:val="24"/>
              </w:rPr>
              <w:drawing>
                <wp:inline distT="0" distB="0" distL="114300" distR="114300">
                  <wp:extent cx="19050" cy="19050"/>
                  <wp:effectExtent l="0" t="0" r="0" b="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6"/>
                          <a:stretch>
                            <a:fillRect/>
                          </a:stretch>
                        </pic:blipFill>
                        <pic:spPr>
                          <a:xfrm>
                            <a:off x="0" y="0"/>
                            <a:ext cx="19050" cy="19050"/>
                          </a:xfrm>
                          <a:prstGeom prst="rect">
                            <a:avLst/>
                          </a:prstGeom>
                          <a:noFill/>
                          <a:ln>
                            <a:noFill/>
                          </a:ln>
                        </pic:spPr>
                      </pic:pic>
                    </a:graphicData>
                  </a:graphic>
                </wp:inline>
              </w:drawing>
            </w:r>
            <w:r>
              <w:rPr>
                <w:rFonts w:ascii="宋体" w:hAnsi="宋体"/>
                <w:color w:val="auto"/>
                <w:sz w:val="24"/>
              </w:rPr>
              <w:fldChar w:fldCharType="end"/>
            </w:r>
          </w:p>
        </w:tc>
        <w:tc>
          <w:tcPr>
            <w:tcW w:w="890" w:type="dxa"/>
            <w:tcBorders>
              <w:top w:val="single" w:color="000000" w:sz="4" w:space="0"/>
              <w:left w:val="single" w:color="000000" w:sz="4" w:space="0"/>
              <w:bottom w:val="single" w:color="000000" w:sz="4" w:space="0"/>
              <w:right w:val="single" w:color="000000" w:sz="4" w:space="0"/>
            </w:tcBorders>
            <w:vAlign w:val="center"/>
          </w:tcPr>
          <w:p w14:paraId="31B79A20">
            <w:pPr>
              <w:autoSpaceDN w:val="0"/>
              <w:spacing w:line="440" w:lineRule="exact"/>
              <w:jc w:val="center"/>
              <w:textAlignment w:val="center"/>
              <w:rPr>
                <w:rFonts w:ascii="宋体" w:hAnsi="宋体"/>
                <w:color w:val="auto"/>
                <w:sz w:val="24"/>
              </w:rPr>
            </w:pPr>
            <w:r>
              <w:rPr>
                <w:rFonts w:hint="eastAsia" w:ascii="宋体" w:hAnsi="宋体"/>
                <w:color w:val="auto"/>
                <w:sz w:val="24"/>
              </w:rPr>
              <w:t>7</w:t>
            </w:r>
          </w:p>
        </w:tc>
        <w:tc>
          <w:tcPr>
            <w:tcW w:w="1925" w:type="dxa"/>
            <w:tcBorders>
              <w:top w:val="single" w:color="000000" w:sz="4" w:space="0"/>
              <w:left w:val="single" w:color="000000" w:sz="4" w:space="0"/>
              <w:bottom w:val="single" w:color="000000" w:sz="4" w:space="0"/>
              <w:right w:val="single" w:color="000000" w:sz="4" w:space="0"/>
            </w:tcBorders>
            <w:vAlign w:val="center"/>
          </w:tcPr>
          <w:p w14:paraId="59E6D966">
            <w:pPr>
              <w:autoSpaceDN w:val="0"/>
              <w:spacing w:line="440" w:lineRule="exact"/>
              <w:jc w:val="center"/>
              <w:textAlignment w:val="center"/>
              <w:rPr>
                <w:rFonts w:ascii="宋体" w:hAnsi="宋体"/>
                <w:color w:val="auto"/>
                <w:sz w:val="24"/>
              </w:rPr>
            </w:pPr>
            <w:r>
              <w:rPr>
                <w:rFonts w:hint="eastAsia" w:ascii="宋体" w:hAnsi="宋体"/>
                <w:color w:val="auto"/>
                <w:sz w:val="24"/>
              </w:rPr>
              <w:t>目标内容</w:t>
            </w:r>
          </w:p>
        </w:tc>
        <w:tc>
          <w:tcPr>
            <w:tcW w:w="847" w:type="dxa"/>
            <w:tcBorders>
              <w:top w:val="single" w:color="000000" w:sz="4" w:space="0"/>
              <w:left w:val="single" w:color="000000" w:sz="4" w:space="0"/>
              <w:bottom w:val="single" w:color="000000" w:sz="4" w:space="0"/>
              <w:right w:val="single" w:color="000000" w:sz="4" w:space="0"/>
            </w:tcBorders>
          </w:tcPr>
          <w:p w14:paraId="0C6656AA">
            <w:pPr>
              <w:jc w:val="center"/>
              <w:rPr>
                <w:rFonts w:ascii="宋体" w:hAnsi="宋体"/>
                <w:color w:val="auto"/>
                <w:sz w:val="24"/>
              </w:rPr>
            </w:pPr>
            <w:r>
              <w:rPr>
                <w:rFonts w:ascii="宋体" w:hAnsi="宋体"/>
                <w:color w:val="auto"/>
                <w:sz w:val="24"/>
              </w:rPr>
              <w:t>7</w:t>
            </w:r>
          </w:p>
        </w:tc>
        <w:tc>
          <w:tcPr>
            <w:tcW w:w="1890" w:type="dxa"/>
            <w:tcBorders>
              <w:top w:val="single" w:color="000000" w:sz="4" w:space="0"/>
              <w:left w:val="single" w:color="000000" w:sz="4" w:space="0"/>
              <w:bottom w:val="single" w:color="000000" w:sz="4" w:space="0"/>
              <w:right w:val="single" w:color="000000" w:sz="4" w:space="0"/>
            </w:tcBorders>
            <w:vAlign w:val="center"/>
          </w:tcPr>
          <w:p w14:paraId="505EE487">
            <w:pPr>
              <w:jc w:val="center"/>
              <w:rPr>
                <w:rFonts w:ascii="宋体" w:hAnsi="宋体" w:cs="宋体"/>
                <w:color w:val="auto"/>
                <w:sz w:val="24"/>
              </w:rPr>
            </w:pPr>
            <w:r>
              <w:rPr>
                <w:rFonts w:hint="eastAsia" w:ascii="宋体" w:hAnsi="宋体"/>
                <w:color w:val="auto"/>
                <w:sz w:val="24"/>
              </w:rPr>
              <w:t>7</w:t>
            </w:r>
          </w:p>
        </w:tc>
      </w:tr>
      <w:tr w14:paraId="147454F7">
        <w:tblPrEx>
          <w:tblCellMar>
            <w:top w:w="0" w:type="dxa"/>
            <w:left w:w="108" w:type="dxa"/>
            <w:bottom w:w="0" w:type="dxa"/>
            <w:right w:w="108" w:type="dxa"/>
          </w:tblCellMar>
        </w:tblPrEx>
        <w:trPr>
          <w:trHeight w:val="284" w:hRule="atLeast"/>
        </w:trPr>
        <w:tc>
          <w:tcPr>
            <w:tcW w:w="1489" w:type="dxa"/>
            <w:vMerge w:val="continue"/>
            <w:tcBorders>
              <w:top w:val="single" w:color="000000" w:sz="4" w:space="0"/>
              <w:left w:val="single" w:color="000000" w:sz="4" w:space="0"/>
              <w:bottom w:val="single" w:color="000000" w:sz="4" w:space="0"/>
              <w:right w:val="single" w:color="000000" w:sz="4" w:space="0"/>
            </w:tcBorders>
            <w:vAlign w:val="center"/>
          </w:tcPr>
          <w:p w14:paraId="39DF50E2">
            <w:pPr>
              <w:spacing w:line="440" w:lineRule="exact"/>
              <w:jc w:val="center"/>
              <w:rPr>
                <w:rFonts w:ascii="宋体" w:hAnsi="宋体"/>
                <w:color w:val="auto"/>
                <w:sz w:val="24"/>
              </w:rPr>
            </w:pPr>
          </w:p>
        </w:tc>
        <w:tc>
          <w:tcPr>
            <w:tcW w:w="998" w:type="dxa"/>
            <w:vMerge w:val="continue"/>
            <w:tcBorders>
              <w:top w:val="single" w:color="000000" w:sz="4" w:space="0"/>
              <w:left w:val="single" w:color="000000" w:sz="4" w:space="0"/>
              <w:bottom w:val="single" w:color="000000" w:sz="4" w:space="0"/>
              <w:right w:val="single" w:color="000000" w:sz="4" w:space="0"/>
            </w:tcBorders>
            <w:vAlign w:val="center"/>
          </w:tcPr>
          <w:p w14:paraId="74A7C294">
            <w:pPr>
              <w:spacing w:line="440" w:lineRule="exact"/>
              <w:jc w:val="center"/>
              <w:rPr>
                <w:rFonts w:ascii="宋体" w:hAnsi="宋体"/>
                <w:color w:val="auto"/>
                <w:sz w:val="24"/>
              </w:rPr>
            </w:pPr>
          </w:p>
        </w:tc>
        <w:tc>
          <w:tcPr>
            <w:tcW w:w="1435" w:type="dxa"/>
            <w:vMerge w:val="restart"/>
            <w:tcBorders>
              <w:top w:val="single" w:color="000000" w:sz="4" w:space="0"/>
              <w:left w:val="single" w:color="000000" w:sz="4" w:space="0"/>
              <w:bottom w:val="single" w:color="000000" w:sz="4" w:space="0"/>
              <w:right w:val="single" w:color="000000" w:sz="4" w:space="0"/>
            </w:tcBorders>
            <w:vAlign w:val="center"/>
          </w:tcPr>
          <w:p w14:paraId="0C1483D9">
            <w:pPr>
              <w:autoSpaceDN w:val="0"/>
              <w:spacing w:line="440" w:lineRule="exact"/>
              <w:jc w:val="center"/>
              <w:textAlignment w:val="center"/>
              <w:rPr>
                <w:rFonts w:ascii="宋体" w:hAnsi="宋体"/>
                <w:color w:val="auto"/>
                <w:sz w:val="24"/>
              </w:rPr>
            </w:pPr>
            <w:r>
              <w:rPr>
                <w:rFonts w:hint="eastAsia" w:ascii="宋体" w:hAnsi="宋体"/>
                <w:color w:val="auto"/>
                <w:sz w:val="24"/>
              </w:rPr>
              <w:t>决策过程</w:t>
            </w:r>
          </w:p>
        </w:tc>
        <w:tc>
          <w:tcPr>
            <w:tcW w:w="890" w:type="dxa"/>
            <w:vMerge w:val="restart"/>
            <w:tcBorders>
              <w:top w:val="single" w:color="000000" w:sz="4" w:space="0"/>
              <w:left w:val="single" w:color="000000" w:sz="4" w:space="0"/>
              <w:bottom w:val="single" w:color="000000" w:sz="4" w:space="0"/>
              <w:right w:val="single" w:color="000000" w:sz="4" w:space="0"/>
            </w:tcBorders>
            <w:vAlign w:val="center"/>
          </w:tcPr>
          <w:p w14:paraId="5BF13963">
            <w:pPr>
              <w:autoSpaceDN w:val="0"/>
              <w:spacing w:line="440" w:lineRule="exact"/>
              <w:jc w:val="center"/>
              <w:textAlignment w:val="center"/>
              <w:rPr>
                <w:rFonts w:ascii="宋体" w:hAnsi="宋体"/>
                <w:color w:val="auto"/>
                <w:sz w:val="24"/>
              </w:rPr>
            </w:pPr>
            <w:r>
              <w:rPr>
                <w:rFonts w:hint="eastAsia" w:ascii="宋体" w:hAnsi="宋体"/>
                <w:color w:val="auto"/>
                <w:sz w:val="24"/>
              </w:rPr>
              <w:t>13</w:t>
            </w:r>
          </w:p>
        </w:tc>
        <w:tc>
          <w:tcPr>
            <w:tcW w:w="1925" w:type="dxa"/>
            <w:tcBorders>
              <w:top w:val="single" w:color="000000" w:sz="4" w:space="0"/>
              <w:left w:val="single" w:color="000000" w:sz="4" w:space="0"/>
              <w:bottom w:val="single" w:color="000000" w:sz="4" w:space="0"/>
              <w:right w:val="single" w:color="000000" w:sz="4" w:space="0"/>
            </w:tcBorders>
            <w:vAlign w:val="center"/>
          </w:tcPr>
          <w:p w14:paraId="4BE9E08C">
            <w:pPr>
              <w:autoSpaceDN w:val="0"/>
              <w:spacing w:line="440" w:lineRule="exact"/>
              <w:jc w:val="center"/>
              <w:textAlignment w:val="center"/>
              <w:rPr>
                <w:rFonts w:ascii="宋体" w:hAnsi="宋体"/>
                <w:color w:val="auto"/>
                <w:sz w:val="24"/>
              </w:rPr>
            </w:pPr>
            <w:r>
              <w:rPr>
                <w:rFonts w:hint="eastAsia" w:ascii="宋体" w:hAnsi="宋体"/>
                <w:color w:val="auto"/>
                <w:sz w:val="24"/>
              </w:rPr>
              <w:t>决策依据</w:t>
            </w:r>
          </w:p>
        </w:tc>
        <w:tc>
          <w:tcPr>
            <w:tcW w:w="847" w:type="dxa"/>
            <w:tcBorders>
              <w:top w:val="single" w:color="000000" w:sz="4" w:space="0"/>
              <w:left w:val="single" w:color="000000" w:sz="4" w:space="0"/>
              <w:bottom w:val="single" w:color="000000" w:sz="4" w:space="0"/>
              <w:right w:val="single" w:color="000000" w:sz="4" w:space="0"/>
            </w:tcBorders>
          </w:tcPr>
          <w:p w14:paraId="275C311A">
            <w:pPr>
              <w:jc w:val="center"/>
              <w:rPr>
                <w:rFonts w:ascii="宋体" w:hAnsi="宋体"/>
                <w:color w:val="auto"/>
                <w:sz w:val="24"/>
              </w:rPr>
            </w:pPr>
            <w:r>
              <w:rPr>
                <w:rFonts w:ascii="宋体" w:hAnsi="宋体"/>
                <w:color w:val="auto"/>
                <w:sz w:val="24"/>
              </w:rPr>
              <w:t>5</w:t>
            </w:r>
          </w:p>
        </w:tc>
        <w:tc>
          <w:tcPr>
            <w:tcW w:w="1890" w:type="dxa"/>
            <w:tcBorders>
              <w:top w:val="single" w:color="000000" w:sz="4" w:space="0"/>
              <w:left w:val="single" w:color="000000" w:sz="4" w:space="0"/>
              <w:bottom w:val="single" w:color="000000" w:sz="4" w:space="0"/>
              <w:right w:val="single" w:color="000000" w:sz="4" w:space="0"/>
            </w:tcBorders>
            <w:vAlign w:val="center"/>
          </w:tcPr>
          <w:p w14:paraId="31A874D6">
            <w:pPr>
              <w:jc w:val="center"/>
              <w:rPr>
                <w:rFonts w:ascii="宋体" w:hAnsi="宋体" w:cs="宋体"/>
                <w:color w:val="auto"/>
                <w:sz w:val="24"/>
              </w:rPr>
            </w:pPr>
            <w:r>
              <w:rPr>
                <w:rFonts w:hint="eastAsia" w:ascii="宋体" w:hAnsi="宋体"/>
                <w:color w:val="auto"/>
                <w:sz w:val="24"/>
              </w:rPr>
              <w:t>5</w:t>
            </w:r>
          </w:p>
        </w:tc>
      </w:tr>
      <w:tr w14:paraId="739210ED">
        <w:tblPrEx>
          <w:tblCellMar>
            <w:top w:w="0" w:type="dxa"/>
            <w:left w:w="108" w:type="dxa"/>
            <w:bottom w:w="0" w:type="dxa"/>
            <w:right w:w="108" w:type="dxa"/>
          </w:tblCellMar>
        </w:tblPrEx>
        <w:trPr>
          <w:trHeight w:val="284" w:hRule="atLeast"/>
        </w:trPr>
        <w:tc>
          <w:tcPr>
            <w:tcW w:w="1489" w:type="dxa"/>
            <w:vMerge w:val="continue"/>
            <w:tcBorders>
              <w:top w:val="single" w:color="000000" w:sz="4" w:space="0"/>
              <w:left w:val="single" w:color="000000" w:sz="4" w:space="0"/>
              <w:bottom w:val="single" w:color="000000" w:sz="4" w:space="0"/>
              <w:right w:val="single" w:color="000000" w:sz="4" w:space="0"/>
            </w:tcBorders>
            <w:vAlign w:val="center"/>
          </w:tcPr>
          <w:p w14:paraId="1224CFA5">
            <w:pPr>
              <w:spacing w:line="440" w:lineRule="exact"/>
              <w:jc w:val="center"/>
              <w:rPr>
                <w:rFonts w:ascii="宋体" w:hAnsi="宋体"/>
                <w:color w:val="auto"/>
                <w:sz w:val="24"/>
              </w:rPr>
            </w:pPr>
          </w:p>
        </w:tc>
        <w:tc>
          <w:tcPr>
            <w:tcW w:w="998" w:type="dxa"/>
            <w:vMerge w:val="continue"/>
            <w:tcBorders>
              <w:top w:val="single" w:color="000000" w:sz="4" w:space="0"/>
              <w:left w:val="single" w:color="000000" w:sz="4" w:space="0"/>
              <w:bottom w:val="single" w:color="000000" w:sz="4" w:space="0"/>
              <w:right w:val="single" w:color="000000" w:sz="4" w:space="0"/>
            </w:tcBorders>
            <w:vAlign w:val="center"/>
          </w:tcPr>
          <w:p w14:paraId="4E59A4C4">
            <w:pPr>
              <w:spacing w:line="440" w:lineRule="exact"/>
              <w:jc w:val="center"/>
              <w:rPr>
                <w:rFonts w:ascii="宋体" w:hAnsi="宋体"/>
                <w:color w:val="auto"/>
                <w:sz w:val="24"/>
              </w:rPr>
            </w:pPr>
          </w:p>
        </w:tc>
        <w:tc>
          <w:tcPr>
            <w:tcW w:w="1435" w:type="dxa"/>
            <w:vMerge w:val="continue"/>
            <w:tcBorders>
              <w:top w:val="single" w:color="000000" w:sz="4" w:space="0"/>
              <w:left w:val="single" w:color="000000" w:sz="4" w:space="0"/>
              <w:bottom w:val="single" w:color="000000" w:sz="4" w:space="0"/>
              <w:right w:val="single" w:color="000000" w:sz="4" w:space="0"/>
            </w:tcBorders>
            <w:vAlign w:val="center"/>
          </w:tcPr>
          <w:p w14:paraId="28D10B5D">
            <w:pPr>
              <w:spacing w:line="440" w:lineRule="exact"/>
              <w:jc w:val="center"/>
              <w:rPr>
                <w:rFonts w:ascii="宋体" w:hAnsi="宋体"/>
                <w:color w:val="auto"/>
                <w:sz w:val="24"/>
              </w:rPr>
            </w:pPr>
          </w:p>
        </w:tc>
        <w:tc>
          <w:tcPr>
            <w:tcW w:w="890" w:type="dxa"/>
            <w:vMerge w:val="continue"/>
            <w:tcBorders>
              <w:top w:val="single" w:color="000000" w:sz="4" w:space="0"/>
              <w:left w:val="single" w:color="000000" w:sz="4" w:space="0"/>
              <w:bottom w:val="single" w:color="000000" w:sz="4" w:space="0"/>
              <w:right w:val="single" w:color="000000" w:sz="4" w:space="0"/>
            </w:tcBorders>
            <w:vAlign w:val="center"/>
          </w:tcPr>
          <w:p w14:paraId="181FF202">
            <w:pPr>
              <w:spacing w:line="440" w:lineRule="exact"/>
              <w:jc w:val="center"/>
              <w:rPr>
                <w:rFonts w:ascii="宋体" w:hAnsi="宋体"/>
                <w:color w:val="auto"/>
                <w:sz w:val="24"/>
              </w:rPr>
            </w:pPr>
          </w:p>
        </w:tc>
        <w:tc>
          <w:tcPr>
            <w:tcW w:w="1925" w:type="dxa"/>
            <w:tcBorders>
              <w:top w:val="single" w:color="000000" w:sz="4" w:space="0"/>
              <w:left w:val="single" w:color="000000" w:sz="4" w:space="0"/>
              <w:bottom w:val="single" w:color="000000" w:sz="4" w:space="0"/>
              <w:right w:val="single" w:color="000000" w:sz="4" w:space="0"/>
            </w:tcBorders>
            <w:vAlign w:val="center"/>
          </w:tcPr>
          <w:p w14:paraId="5CAB5AA3">
            <w:pPr>
              <w:autoSpaceDN w:val="0"/>
              <w:spacing w:line="440" w:lineRule="exact"/>
              <w:jc w:val="center"/>
              <w:textAlignment w:val="center"/>
              <w:rPr>
                <w:rFonts w:ascii="宋体" w:hAnsi="宋体"/>
                <w:color w:val="auto"/>
                <w:sz w:val="24"/>
              </w:rPr>
            </w:pPr>
            <w:r>
              <w:rPr>
                <w:rFonts w:hint="eastAsia" w:ascii="宋体" w:hAnsi="宋体"/>
                <w:color w:val="auto"/>
                <w:sz w:val="24"/>
              </w:rPr>
              <w:t>决策程序</w:t>
            </w:r>
          </w:p>
        </w:tc>
        <w:tc>
          <w:tcPr>
            <w:tcW w:w="847" w:type="dxa"/>
            <w:tcBorders>
              <w:top w:val="single" w:color="000000" w:sz="4" w:space="0"/>
              <w:left w:val="single" w:color="000000" w:sz="4" w:space="0"/>
              <w:bottom w:val="single" w:color="000000" w:sz="4" w:space="0"/>
              <w:right w:val="single" w:color="000000" w:sz="4" w:space="0"/>
            </w:tcBorders>
          </w:tcPr>
          <w:p w14:paraId="190FF10E">
            <w:pPr>
              <w:jc w:val="center"/>
              <w:rPr>
                <w:rFonts w:ascii="宋体" w:hAnsi="宋体"/>
                <w:color w:val="auto"/>
                <w:sz w:val="24"/>
              </w:rPr>
            </w:pPr>
            <w:r>
              <w:rPr>
                <w:rFonts w:ascii="宋体" w:hAnsi="宋体"/>
                <w:color w:val="auto"/>
                <w:sz w:val="24"/>
              </w:rPr>
              <w:t>8</w:t>
            </w:r>
          </w:p>
        </w:tc>
        <w:tc>
          <w:tcPr>
            <w:tcW w:w="1890" w:type="dxa"/>
            <w:tcBorders>
              <w:top w:val="single" w:color="000000" w:sz="4" w:space="0"/>
              <w:left w:val="single" w:color="000000" w:sz="4" w:space="0"/>
              <w:bottom w:val="single" w:color="000000" w:sz="4" w:space="0"/>
              <w:right w:val="single" w:color="000000" w:sz="4" w:space="0"/>
            </w:tcBorders>
            <w:vAlign w:val="center"/>
          </w:tcPr>
          <w:p w14:paraId="0944CBA3">
            <w:pPr>
              <w:jc w:val="center"/>
              <w:rPr>
                <w:rFonts w:ascii="宋体" w:hAnsi="宋体" w:cs="宋体"/>
                <w:color w:val="auto"/>
                <w:sz w:val="24"/>
              </w:rPr>
            </w:pPr>
            <w:r>
              <w:rPr>
                <w:rFonts w:hint="eastAsia" w:ascii="宋体" w:hAnsi="宋体"/>
                <w:color w:val="auto"/>
                <w:sz w:val="24"/>
              </w:rPr>
              <w:t>8</w:t>
            </w:r>
          </w:p>
        </w:tc>
      </w:tr>
      <w:tr w14:paraId="05AEEB84">
        <w:tblPrEx>
          <w:tblCellMar>
            <w:top w:w="0" w:type="dxa"/>
            <w:left w:w="108" w:type="dxa"/>
            <w:bottom w:w="0" w:type="dxa"/>
            <w:right w:w="108" w:type="dxa"/>
          </w:tblCellMar>
        </w:tblPrEx>
        <w:trPr>
          <w:trHeight w:val="284" w:hRule="atLeast"/>
        </w:trPr>
        <w:tc>
          <w:tcPr>
            <w:tcW w:w="1489" w:type="dxa"/>
            <w:vMerge w:val="continue"/>
            <w:tcBorders>
              <w:top w:val="single" w:color="000000" w:sz="4" w:space="0"/>
              <w:left w:val="single" w:color="000000" w:sz="4" w:space="0"/>
              <w:bottom w:val="single" w:color="000000" w:sz="4" w:space="0"/>
              <w:right w:val="single" w:color="000000" w:sz="4" w:space="0"/>
            </w:tcBorders>
            <w:vAlign w:val="center"/>
          </w:tcPr>
          <w:p w14:paraId="6274039D">
            <w:pPr>
              <w:spacing w:line="440" w:lineRule="exact"/>
              <w:jc w:val="center"/>
              <w:rPr>
                <w:rFonts w:ascii="宋体" w:hAnsi="宋体"/>
                <w:color w:val="auto"/>
                <w:sz w:val="24"/>
              </w:rPr>
            </w:pPr>
          </w:p>
        </w:tc>
        <w:tc>
          <w:tcPr>
            <w:tcW w:w="998" w:type="dxa"/>
            <w:vMerge w:val="continue"/>
            <w:tcBorders>
              <w:top w:val="single" w:color="000000" w:sz="4" w:space="0"/>
              <w:left w:val="single" w:color="000000" w:sz="4" w:space="0"/>
              <w:bottom w:val="single" w:color="000000" w:sz="4" w:space="0"/>
              <w:right w:val="single" w:color="000000" w:sz="4" w:space="0"/>
            </w:tcBorders>
            <w:vAlign w:val="center"/>
          </w:tcPr>
          <w:p w14:paraId="1E81E0D6">
            <w:pPr>
              <w:spacing w:line="440" w:lineRule="exact"/>
              <w:jc w:val="center"/>
              <w:rPr>
                <w:rFonts w:ascii="宋体" w:hAnsi="宋体"/>
                <w:color w:val="auto"/>
                <w:sz w:val="24"/>
              </w:rPr>
            </w:pPr>
          </w:p>
        </w:tc>
        <w:tc>
          <w:tcPr>
            <w:tcW w:w="1435" w:type="dxa"/>
            <w:vMerge w:val="restart"/>
            <w:tcBorders>
              <w:top w:val="single" w:color="000000" w:sz="4" w:space="0"/>
              <w:left w:val="single" w:color="000000" w:sz="4" w:space="0"/>
              <w:bottom w:val="single" w:color="000000" w:sz="4" w:space="0"/>
              <w:right w:val="single" w:color="000000" w:sz="4" w:space="0"/>
            </w:tcBorders>
            <w:vAlign w:val="center"/>
          </w:tcPr>
          <w:p w14:paraId="53C176B3">
            <w:pPr>
              <w:autoSpaceDN w:val="0"/>
              <w:spacing w:line="440" w:lineRule="exact"/>
              <w:jc w:val="center"/>
              <w:textAlignment w:val="center"/>
              <w:rPr>
                <w:rFonts w:ascii="宋体" w:hAnsi="宋体"/>
                <w:color w:val="auto"/>
                <w:sz w:val="24"/>
              </w:rPr>
            </w:pPr>
            <w:r>
              <w:rPr>
                <w:rFonts w:hint="eastAsia" w:ascii="宋体" w:hAnsi="宋体"/>
                <w:color w:val="auto"/>
                <w:sz w:val="24"/>
              </w:rPr>
              <w:t>资金分配</w:t>
            </w:r>
          </w:p>
        </w:tc>
        <w:tc>
          <w:tcPr>
            <w:tcW w:w="890" w:type="dxa"/>
            <w:vMerge w:val="restart"/>
            <w:tcBorders>
              <w:top w:val="single" w:color="000000" w:sz="4" w:space="0"/>
              <w:left w:val="single" w:color="000000" w:sz="4" w:space="0"/>
              <w:bottom w:val="single" w:color="000000" w:sz="4" w:space="0"/>
              <w:right w:val="single" w:color="000000" w:sz="4" w:space="0"/>
            </w:tcBorders>
            <w:vAlign w:val="center"/>
          </w:tcPr>
          <w:p w14:paraId="6D0CC5B6">
            <w:pPr>
              <w:autoSpaceDN w:val="0"/>
              <w:spacing w:line="440" w:lineRule="exact"/>
              <w:jc w:val="center"/>
              <w:textAlignment w:val="center"/>
              <w:rPr>
                <w:rFonts w:ascii="宋体" w:hAnsi="宋体"/>
                <w:color w:val="auto"/>
                <w:sz w:val="24"/>
              </w:rPr>
            </w:pPr>
            <w:r>
              <w:rPr>
                <w:rFonts w:hint="eastAsia" w:ascii="宋体" w:hAnsi="宋体"/>
                <w:color w:val="auto"/>
                <w:sz w:val="24"/>
              </w:rPr>
              <w:t>13</w:t>
            </w:r>
          </w:p>
        </w:tc>
        <w:tc>
          <w:tcPr>
            <w:tcW w:w="1925" w:type="dxa"/>
            <w:tcBorders>
              <w:top w:val="single" w:color="000000" w:sz="4" w:space="0"/>
              <w:left w:val="single" w:color="000000" w:sz="4" w:space="0"/>
              <w:bottom w:val="single" w:color="000000" w:sz="4" w:space="0"/>
              <w:right w:val="single" w:color="000000" w:sz="4" w:space="0"/>
            </w:tcBorders>
            <w:vAlign w:val="center"/>
          </w:tcPr>
          <w:p w14:paraId="19C39317">
            <w:pPr>
              <w:autoSpaceDN w:val="0"/>
              <w:spacing w:line="440" w:lineRule="exact"/>
              <w:jc w:val="center"/>
              <w:textAlignment w:val="center"/>
              <w:rPr>
                <w:rFonts w:ascii="宋体" w:hAnsi="宋体"/>
                <w:color w:val="auto"/>
                <w:sz w:val="24"/>
              </w:rPr>
            </w:pPr>
            <w:r>
              <w:rPr>
                <w:rFonts w:hint="eastAsia" w:ascii="宋体" w:hAnsi="宋体"/>
                <w:color w:val="auto"/>
                <w:sz w:val="24"/>
              </w:rPr>
              <w:t>分配办法</w:t>
            </w:r>
          </w:p>
        </w:tc>
        <w:tc>
          <w:tcPr>
            <w:tcW w:w="847" w:type="dxa"/>
            <w:tcBorders>
              <w:top w:val="single" w:color="000000" w:sz="4" w:space="0"/>
              <w:left w:val="single" w:color="000000" w:sz="4" w:space="0"/>
              <w:bottom w:val="single" w:color="000000" w:sz="4" w:space="0"/>
              <w:right w:val="single" w:color="000000" w:sz="4" w:space="0"/>
            </w:tcBorders>
          </w:tcPr>
          <w:p w14:paraId="170AD003">
            <w:pPr>
              <w:jc w:val="center"/>
              <w:rPr>
                <w:rFonts w:ascii="宋体" w:hAnsi="宋体"/>
                <w:color w:val="auto"/>
                <w:sz w:val="24"/>
              </w:rPr>
            </w:pPr>
            <w:r>
              <w:rPr>
                <w:rFonts w:ascii="宋体" w:hAnsi="宋体"/>
                <w:color w:val="auto"/>
                <w:sz w:val="24"/>
              </w:rPr>
              <w:t>3</w:t>
            </w:r>
          </w:p>
        </w:tc>
        <w:tc>
          <w:tcPr>
            <w:tcW w:w="1890" w:type="dxa"/>
            <w:tcBorders>
              <w:top w:val="single" w:color="000000" w:sz="4" w:space="0"/>
              <w:left w:val="single" w:color="000000" w:sz="4" w:space="0"/>
              <w:bottom w:val="single" w:color="000000" w:sz="4" w:space="0"/>
              <w:right w:val="single" w:color="000000" w:sz="4" w:space="0"/>
            </w:tcBorders>
            <w:vAlign w:val="center"/>
          </w:tcPr>
          <w:p w14:paraId="3238E40B">
            <w:pPr>
              <w:jc w:val="center"/>
              <w:rPr>
                <w:rFonts w:ascii="宋体" w:hAnsi="宋体" w:cs="宋体"/>
                <w:color w:val="auto"/>
                <w:sz w:val="24"/>
              </w:rPr>
            </w:pPr>
            <w:r>
              <w:rPr>
                <w:rFonts w:hint="eastAsia" w:ascii="宋体" w:hAnsi="宋体"/>
                <w:color w:val="auto"/>
                <w:sz w:val="24"/>
              </w:rPr>
              <w:t>3</w:t>
            </w:r>
          </w:p>
        </w:tc>
      </w:tr>
      <w:tr w14:paraId="154C4383">
        <w:tblPrEx>
          <w:tblCellMar>
            <w:top w:w="0" w:type="dxa"/>
            <w:left w:w="108" w:type="dxa"/>
            <w:bottom w:w="0" w:type="dxa"/>
            <w:right w:w="108" w:type="dxa"/>
          </w:tblCellMar>
        </w:tblPrEx>
        <w:trPr>
          <w:trHeight w:val="284" w:hRule="atLeast"/>
        </w:trPr>
        <w:tc>
          <w:tcPr>
            <w:tcW w:w="1489" w:type="dxa"/>
            <w:vMerge w:val="continue"/>
            <w:tcBorders>
              <w:top w:val="single" w:color="000000" w:sz="4" w:space="0"/>
              <w:left w:val="single" w:color="000000" w:sz="4" w:space="0"/>
              <w:bottom w:val="single" w:color="000000" w:sz="4" w:space="0"/>
              <w:right w:val="single" w:color="000000" w:sz="4" w:space="0"/>
            </w:tcBorders>
            <w:vAlign w:val="center"/>
          </w:tcPr>
          <w:p w14:paraId="710BAC6A">
            <w:pPr>
              <w:spacing w:line="440" w:lineRule="exact"/>
              <w:jc w:val="center"/>
              <w:rPr>
                <w:rFonts w:ascii="宋体" w:hAnsi="宋体"/>
                <w:color w:val="auto"/>
                <w:sz w:val="24"/>
              </w:rPr>
            </w:pPr>
          </w:p>
        </w:tc>
        <w:tc>
          <w:tcPr>
            <w:tcW w:w="998" w:type="dxa"/>
            <w:vMerge w:val="continue"/>
            <w:tcBorders>
              <w:top w:val="single" w:color="000000" w:sz="4" w:space="0"/>
              <w:left w:val="single" w:color="000000" w:sz="4" w:space="0"/>
              <w:bottom w:val="single" w:color="000000" w:sz="4" w:space="0"/>
              <w:right w:val="single" w:color="000000" w:sz="4" w:space="0"/>
            </w:tcBorders>
            <w:vAlign w:val="center"/>
          </w:tcPr>
          <w:p w14:paraId="3B484EC7">
            <w:pPr>
              <w:spacing w:line="440" w:lineRule="exact"/>
              <w:jc w:val="center"/>
              <w:rPr>
                <w:rFonts w:ascii="宋体" w:hAnsi="宋体"/>
                <w:color w:val="auto"/>
                <w:sz w:val="24"/>
              </w:rPr>
            </w:pPr>
          </w:p>
        </w:tc>
        <w:tc>
          <w:tcPr>
            <w:tcW w:w="1435" w:type="dxa"/>
            <w:vMerge w:val="continue"/>
            <w:tcBorders>
              <w:top w:val="single" w:color="000000" w:sz="4" w:space="0"/>
              <w:left w:val="single" w:color="000000" w:sz="4" w:space="0"/>
              <w:bottom w:val="single" w:color="000000" w:sz="4" w:space="0"/>
              <w:right w:val="single" w:color="000000" w:sz="4" w:space="0"/>
            </w:tcBorders>
            <w:vAlign w:val="center"/>
          </w:tcPr>
          <w:p w14:paraId="2AB6968A">
            <w:pPr>
              <w:spacing w:line="440" w:lineRule="exact"/>
              <w:jc w:val="center"/>
              <w:rPr>
                <w:rFonts w:ascii="宋体" w:hAnsi="宋体"/>
                <w:color w:val="auto"/>
                <w:sz w:val="24"/>
              </w:rPr>
            </w:pPr>
          </w:p>
        </w:tc>
        <w:tc>
          <w:tcPr>
            <w:tcW w:w="890" w:type="dxa"/>
            <w:vMerge w:val="continue"/>
            <w:tcBorders>
              <w:top w:val="single" w:color="000000" w:sz="4" w:space="0"/>
              <w:left w:val="single" w:color="000000" w:sz="4" w:space="0"/>
              <w:bottom w:val="single" w:color="000000" w:sz="4" w:space="0"/>
              <w:right w:val="single" w:color="000000" w:sz="4" w:space="0"/>
            </w:tcBorders>
            <w:vAlign w:val="center"/>
          </w:tcPr>
          <w:p w14:paraId="5E8D0BB0">
            <w:pPr>
              <w:spacing w:line="440" w:lineRule="exact"/>
              <w:jc w:val="center"/>
              <w:rPr>
                <w:rFonts w:ascii="宋体" w:hAnsi="宋体"/>
                <w:color w:val="auto"/>
                <w:sz w:val="24"/>
              </w:rPr>
            </w:pPr>
          </w:p>
        </w:tc>
        <w:tc>
          <w:tcPr>
            <w:tcW w:w="1925" w:type="dxa"/>
            <w:tcBorders>
              <w:top w:val="single" w:color="000000" w:sz="4" w:space="0"/>
              <w:left w:val="single" w:color="000000" w:sz="4" w:space="0"/>
              <w:bottom w:val="single" w:color="000000" w:sz="4" w:space="0"/>
              <w:right w:val="single" w:color="000000" w:sz="4" w:space="0"/>
            </w:tcBorders>
            <w:vAlign w:val="center"/>
          </w:tcPr>
          <w:p w14:paraId="0C36F4BB">
            <w:pPr>
              <w:autoSpaceDN w:val="0"/>
              <w:spacing w:line="440" w:lineRule="exact"/>
              <w:jc w:val="center"/>
              <w:textAlignment w:val="center"/>
              <w:rPr>
                <w:rFonts w:ascii="宋体" w:hAnsi="宋体"/>
                <w:color w:val="auto"/>
                <w:sz w:val="24"/>
              </w:rPr>
            </w:pPr>
            <w:r>
              <w:rPr>
                <w:rFonts w:hint="eastAsia" w:ascii="宋体" w:hAnsi="宋体"/>
                <w:color w:val="auto"/>
                <w:sz w:val="24"/>
              </w:rPr>
              <w:t>分配结果</w:t>
            </w:r>
          </w:p>
        </w:tc>
        <w:tc>
          <w:tcPr>
            <w:tcW w:w="847" w:type="dxa"/>
            <w:tcBorders>
              <w:top w:val="single" w:color="000000" w:sz="4" w:space="0"/>
              <w:left w:val="single" w:color="000000" w:sz="4" w:space="0"/>
              <w:bottom w:val="single" w:color="000000" w:sz="4" w:space="0"/>
              <w:right w:val="single" w:color="000000" w:sz="4" w:space="0"/>
            </w:tcBorders>
          </w:tcPr>
          <w:p w14:paraId="4432975E">
            <w:pPr>
              <w:jc w:val="center"/>
              <w:rPr>
                <w:rFonts w:ascii="宋体" w:hAnsi="宋体"/>
                <w:color w:val="auto"/>
                <w:sz w:val="24"/>
              </w:rPr>
            </w:pPr>
            <w:r>
              <w:rPr>
                <w:rFonts w:ascii="宋体" w:hAnsi="宋体"/>
                <w:color w:val="auto"/>
                <w:sz w:val="24"/>
              </w:rPr>
              <w:t>10</w:t>
            </w:r>
          </w:p>
        </w:tc>
        <w:tc>
          <w:tcPr>
            <w:tcW w:w="1890" w:type="dxa"/>
            <w:tcBorders>
              <w:top w:val="single" w:color="000000" w:sz="4" w:space="0"/>
              <w:left w:val="single" w:color="000000" w:sz="4" w:space="0"/>
              <w:bottom w:val="single" w:color="000000" w:sz="4" w:space="0"/>
              <w:right w:val="single" w:color="000000" w:sz="4" w:space="0"/>
            </w:tcBorders>
            <w:vAlign w:val="center"/>
          </w:tcPr>
          <w:p w14:paraId="1A263207">
            <w:pPr>
              <w:jc w:val="center"/>
              <w:rPr>
                <w:rFonts w:ascii="宋体" w:hAnsi="宋体" w:cs="宋体"/>
                <w:color w:val="auto"/>
                <w:sz w:val="24"/>
              </w:rPr>
            </w:pPr>
            <w:r>
              <w:rPr>
                <w:rFonts w:hint="eastAsia" w:ascii="宋体" w:hAnsi="宋体"/>
                <w:color w:val="auto"/>
                <w:sz w:val="24"/>
              </w:rPr>
              <w:t>10</w:t>
            </w:r>
          </w:p>
        </w:tc>
      </w:tr>
      <w:tr w14:paraId="1A14D7C6">
        <w:tblPrEx>
          <w:tblCellMar>
            <w:top w:w="0" w:type="dxa"/>
            <w:left w:w="108" w:type="dxa"/>
            <w:bottom w:w="0" w:type="dxa"/>
            <w:right w:w="108" w:type="dxa"/>
          </w:tblCellMar>
        </w:tblPrEx>
        <w:trPr>
          <w:trHeight w:val="284" w:hRule="atLeast"/>
        </w:trPr>
        <w:tc>
          <w:tcPr>
            <w:tcW w:w="1489" w:type="dxa"/>
            <w:vMerge w:val="restart"/>
            <w:tcBorders>
              <w:top w:val="single" w:color="000000" w:sz="4" w:space="0"/>
              <w:left w:val="single" w:color="000000" w:sz="4" w:space="0"/>
              <w:bottom w:val="single" w:color="000000" w:sz="4" w:space="0"/>
              <w:right w:val="single" w:color="000000" w:sz="4" w:space="0"/>
            </w:tcBorders>
            <w:vAlign w:val="center"/>
          </w:tcPr>
          <w:p w14:paraId="1014606B">
            <w:pPr>
              <w:autoSpaceDN w:val="0"/>
              <w:spacing w:line="440" w:lineRule="exact"/>
              <w:jc w:val="center"/>
              <w:textAlignment w:val="center"/>
              <w:rPr>
                <w:rFonts w:ascii="宋体" w:hAnsi="宋体"/>
                <w:color w:val="auto"/>
                <w:sz w:val="24"/>
              </w:rPr>
            </w:pPr>
            <w:r>
              <w:rPr>
                <w:rFonts w:hint="eastAsia" w:ascii="宋体" w:hAnsi="宋体"/>
                <w:color w:val="auto"/>
                <w:sz w:val="24"/>
              </w:rPr>
              <w:t>项目管理</w:t>
            </w:r>
          </w:p>
        </w:tc>
        <w:tc>
          <w:tcPr>
            <w:tcW w:w="998" w:type="dxa"/>
            <w:vMerge w:val="restart"/>
            <w:tcBorders>
              <w:top w:val="single" w:color="000000" w:sz="4" w:space="0"/>
              <w:left w:val="single" w:color="000000" w:sz="4" w:space="0"/>
              <w:bottom w:val="single" w:color="000000" w:sz="4" w:space="0"/>
              <w:right w:val="single" w:color="000000" w:sz="4" w:space="0"/>
            </w:tcBorders>
            <w:vAlign w:val="center"/>
          </w:tcPr>
          <w:p w14:paraId="0B82A207">
            <w:pPr>
              <w:autoSpaceDN w:val="0"/>
              <w:spacing w:line="440" w:lineRule="exact"/>
              <w:jc w:val="center"/>
              <w:textAlignment w:val="center"/>
              <w:rPr>
                <w:rFonts w:ascii="宋体" w:hAnsi="宋体"/>
                <w:color w:val="auto"/>
                <w:sz w:val="24"/>
              </w:rPr>
            </w:pPr>
            <w:r>
              <w:rPr>
                <w:rFonts w:hint="eastAsia" w:ascii="宋体" w:hAnsi="宋体"/>
                <w:color w:val="auto"/>
                <w:sz w:val="24"/>
              </w:rPr>
              <w:t>42</w:t>
            </w:r>
          </w:p>
        </w:tc>
        <w:tc>
          <w:tcPr>
            <w:tcW w:w="1435" w:type="dxa"/>
            <w:vMerge w:val="restart"/>
            <w:tcBorders>
              <w:top w:val="single" w:color="000000" w:sz="4" w:space="0"/>
              <w:left w:val="single" w:color="000000" w:sz="4" w:space="0"/>
              <w:bottom w:val="single" w:color="000000" w:sz="4" w:space="0"/>
              <w:right w:val="single" w:color="000000" w:sz="4" w:space="0"/>
            </w:tcBorders>
            <w:vAlign w:val="center"/>
          </w:tcPr>
          <w:p w14:paraId="61E87373">
            <w:pPr>
              <w:autoSpaceDN w:val="0"/>
              <w:spacing w:line="440" w:lineRule="exact"/>
              <w:jc w:val="center"/>
              <w:textAlignment w:val="center"/>
              <w:rPr>
                <w:rFonts w:ascii="宋体" w:hAnsi="宋体"/>
                <w:color w:val="auto"/>
                <w:sz w:val="24"/>
              </w:rPr>
            </w:pPr>
            <w:r>
              <w:rPr>
                <w:rFonts w:hint="eastAsia" w:ascii="宋体" w:hAnsi="宋体"/>
                <w:color w:val="auto"/>
                <w:sz w:val="24"/>
              </w:rPr>
              <w:t>资金到位</w:t>
            </w:r>
          </w:p>
        </w:tc>
        <w:tc>
          <w:tcPr>
            <w:tcW w:w="890" w:type="dxa"/>
            <w:vMerge w:val="restart"/>
            <w:tcBorders>
              <w:top w:val="single" w:color="000000" w:sz="4" w:space="0"/>
              <w:left w:val="single" w:color="000000" w:sz="4" w:space="0"/>
              <w:bottom w:val="single" w:color="000000" w:sz="4" w:space="0"/>
              <w:right w:val="single" w:color="000000" w:sz="4" w:space="0"/>
            </w:tcBorders>
            <w:vAlign w:val="center"/>
          </w:tcPr>
          <w:p w14:paraId="3CA5EA0A">
            <w:pPr>
              <w:autoSpaceDN w:val="0"/>
              <w:spacing w:line="440" w:lineRule="exact"/>
              <w:jc w:val="center"/>
              <w:textAlignment w:val="center"/>
              <w:rPr>
                <w:rFonts w:ascii="宋体" w:hAnsi="宋体"/>
                <w:color w:val="auto"/>
                <w:sz w:val="24"/>
              </w:rPr>
            </w:pPr>
            <w:r>
              <w:rPr>
                <w:rFonts w:hint="eastAsia" w:ascii="宋体" w:hAnsi="宋体"/>
                <w:color w:val="auto"/>
                <w:sz w:val="24"/>
              </w:rPr>
              <w:t>8</w:t>
            </w:r>
          </w:p>
        </w:tc>
        <w:tc>
          <w:tcPr>
            <w:tcW w:w="1925" w:type="dxa"/>
            <w:tcBorders>
              <w:top w:val="single" w:color="000000" w:sz="4" w:space="0"/>
              <w:left w:val="single" w:color="000000" w:sz="4" w:space="0"/>
              <w:bottom w:val="single" w:color="000000" w:sz="4" w:space="0"/>
              <w:right w:val="single" w:color="000000" w:sz="4" w:space="0"/>
            </w:tcBorders>
            <w:vAlign w:val="center"/>
          </w:tcPr>
          <w:p w14:paraId="7AAB7027">
            <w:pPr>
              <w:autoSpaceDN w:val="0"/>
              <w:spacing w:line="440" w:lineRule="exact"/>
              <w:jc w:val="center"/>
              <w:textAlignment w:val="center"/>
              <w:rPr>
                <w:rFonts w:ascii="宋体" w:hAnsi="宋体"/>
                <w:color w:val="auto"/>
                <w:sz w:val="24"/>
              </w:rPr>
            </w:pPr>
            <w:r>
              <w:rPr>
                <w:rFonts w:hint="eastAsia" w:ascii="宋体" w:hAnsi="宋体"/>
                <w:color w:val="auto"/>
                <w:sz w:val="24"/>
              </w:rPr>
              <w:t>到位率</w:t>
            </w:r>
          </w:p>
        </w:tc>
        <w:tc>
          <w:tcPr>
            <w:tcW w:w="847" w:type="dxa"/>
            <w:tcBorders>
              <w:top w:val="single" w:color="000000" w:sz="4" w:space="0"/>
              <w:left w:val="single" w:color="000000" w:sz="4" w:space="0"/>
              <w:bottom w:val="single" w:color="000000" w:sz="4" w:space="0"/>
              <w:right w:val="single" w:color="000000" w:sz="4" w:space="0"/>
            </w:tcBorders>
          </w:tcPr>
          <w:p w14:paraId="5CD18A5C">
            <w:pPr>
              <w:jc w:val="center"/>
              <w:rPr>
                <w:rFonts w:ascii="宋体" w:hAnsi="宋体"/>
                <w:color w:val="auto"/>
                <w:sz w:val="24"/>
              </w:rPr>
            </w:pPr>
            <w:r>
              <w:rPr>
                <w:rFonts w:ascii="宋体" w:hAnsi="宋体"/>
                <w:color w:val="auto"/>
                <w:sz w:val="24"/>
              </w:rPr>
              <w:t>5</w:t>
            </w:r>
          </w:p>
        </w:tc>
        <w:tc>
          <w:tcPr>
            <w:tcW w:w="1890" w:type="dxa"/>
            <w:tcBorders>
              <w:top w:val="single" w:color="000000" w:sz="4" w:space="0"/>
              <w:left w:val="single" w:color="000000" w:sz="4" w:space="0"/>
              <w:bottom w:val="single" w:color="000000" w:sz="4" w:space="0"/>
              <w:right w:val="single" w:color="000000" w:sz="4" w:space="0"/>
            </w:tcBorders>
            <w:vAlign w:val="center"/>
          </w:tcPr>
          <w:p w14:paraId="7FC2E062">
            <w:pPr>
              <w:jc w:val="center"/>
              <w:rPr>
                <w:rFonts w:ascii="宋体" w:hAnsi="宋体" w:cs="宋体"/>
                <w:color w:val="auto"/>
                <w:sz w:val="24"/>
              </w:rPr>
            </w:pPr>
            <w:r>
              <w:rPr>
                <w:rFonts w:hint="eastAsia" w:ascii="宋体" w:hAnsi="宋体"/>
                <w:color w:val="auto"/>
                <w:sz w:val="24"/>
              </w:rPr>
              <w:t>5</w:t>
            </w:r>
          </w:p>
        </w:tc>
      </w:tr>
      <w:tr w14:paraId="71723583">
        <w:tblPrEx>
          <w:tblCellMar>
            <w:top w:w="0" w:type="dxa"/>
            <w:left w:w="108" w:type="dxa"/>
            <w:bottom w:w="0" w:type="dxa"/>
            <w:right w:w="108" w:type="dxa"/>
          </w:tblCellMar>
        </w:tblPrEx>
        <w:trPr>
          <w:trHeight w:val="284" w:hRule="atLeast"/>
        </w:trPr>
        <w:tc>
          <w:tcPr>
            <w:tcW w:w="1489" w:type="dxa"/>
            <w:vMerge w:val="continue"/>
            <w:tcBorders>
              <w:top w:val="single" w:color="000000" w:sz="4" w:space="0"/>
              <w:left w:val="single" w:color="000000" w:sz="4" w:space="0"/>
              <w:bottom w:val="single" w:color="000000" w:sz="4" w:space="0"/>
              <w:right w:val="single" w:color="000000" w:sz="4" w:space="0"/>
            </w:tcBorders>
            <w:vAlign w:val="center"/>
          </w:tcPr>
          <w:p w14:paraId="54A2960B">
            <w:pPr>
              <w:spacing w:line="440" w:lineRule="exact"/>
              <w:jc w:val="center"/>
              <w:rPr>
                <w:rFonts w:ascii="宋体" w:hAnsi="宋体"/>
                <w:color w:val="auto"/>
                <w:sz w:val="24"/>
              </w:rPr>
            </w:pPr>
          </w:p>
        </w:tc>
        <w:tc>
          <w:tcPr>
            <w:tcW w:w="998" w:type="dxa"/>
            <w:vMerge w:val="continue"/>
            <w:tcBorders>
              <w:top w:val="single" w:color="000000" w:sz="4" w:space="0"/>
              <w:left w:val="single" w:color="000000" w:sz="4" w:space="0"/>
              <w:bottom w:val="single" w:color="000000" w:sz="4" w:space="0"/>
              <w:right w:val="single" w:color="000000" w:sz="4" w:space="0"/>
            </w:tcBorders>
            <w:vAlign w:val="center"/>
          </w:tcPr>
          <w:p w14:paraId="0CDEE660">
            <w:pPr>
              <w:spacing w:line="440" w:lineRule="exact"/>
              <w:jc w:val="center"/>
              <w:rPr>
                <w:rFonts w:ascii="宋体" w:hAnsi="宋体"/>
                <w:color w:val="auto"/>
                <w:sz w:val="24"/>
              </w:rPr>
            </w:pPr>
          </w:p>
        </w:tc>
        <w:tc>
          <w:tcPr>
            <w:tcW w:w="1435" w:type="dxa"/>
            <w:vMerge w:val="continue"/>
            <w:tcBorders>
              <w:top w:val="single" w:color="000000" w:sz="4" w:space="0"/>
              <w:left w:val="single" w:color="000000" w:sz="4" w:space="0"/>
              <w:bottom w:val="single" w:color="000000" w:sz="4" w:space="0"/>
              <w:right w:val="single" w:color="000000" w:sz="4" w:space="0"/>
            </w:tcBorders>
            <w:vAlign w:val="center"/>
          </w:tcPr>
          <w:p w14:paraId="6A7E6BB3">
            <w:pPr>
              <w:spacing w:line="440" w:lineRule="exact"/>
              <w:jc w:val="center"/>
              <w:rPr>
                <w:rFonts w:ascii="宋体" w:hAnsi="宋体"/>
                <w:color w:val="auto"/>
                <w:sz w:val="24"/>
              </w:rPr>
            </w:pPr>
          </w:p>
        </w:tc>
        <w:tc>
          <w:tcPr>
            <w:tcW w:w="890" w:type="dxa"/>
            <w:vMerge w:val="continue"/>
            <w:tcBorders>
              <w:top w:val="single" w:color="000000" w:sz="4" w:space="0"/>
              <w:left w:val="single" w:color="000000" w:sz="4" w:space="0"/>
              <w:bottom w:val="single" w:color="000000" w:sz="4" w:space="0"/>
              <w:right w:val="single" w:color="000000" w:sz="4" w:space="0"/>
            </w:tcBorders>
            <w:vAlign w:val="center"/>
          </w:tcPr>
          <w:p w14:paraId="1FF13A7D">
            <w:pPr>
              <w:spacing w:line="440" w:lineRule="exact"/>
              <w:jc w:val="center"/>
              <w:rPr>
                <w:rFonts w:ascii="宋体" w:hAnsi="宋体"/>
                <w:color w:val="auto"/>
                <w:sz w:val="24"/>
              </w:rPr>
            </w:pPr>
          </w:p>
        </w:tc>
        <w:tc>
          <w:tcPr>
            <w:tcW w:w="1925" w:type="dxa"/>
            <w:tcBorders>
              <w:top w:val="single" w:color="000000" w:sz="4" w:space="0"/>
              <w:left w:val="single" w:color="000000" w:sz="4" w:space="0"/>
              <w:bottom w:val="single" w:color="000000" w:sz="4" w:space="0"/>
              <w:right w:val="single" w:color="000000" w:sz="4" w:space="0"/>
            </w:tcBorders>
            <w:vAlign w:val="center"/>
          </w:tcPr>
          <w:p w14:paraId="31CD5F0F">
            <w:pPr>
              <w:autoSpaceDN w:val="0"/>
              <w:spacing w:line="440" w:lineRule="exact"/>
              <w:jc w:val="center"/>
              <w:textAlignment w:val="center"/>
              <w:rPr>
                <w:rFonts w:ascii="宋体" w:hAnsi="宋体"/>
                <w:color w:val="auto"/>
                <w:sz w:val="24"/>
              </w:rPr>
            </w:pPr>
            <w:r>
              <w:rPr>
                <w:rFonts w:hint="eastAsia" w:ascii="宋体" w:hAnsi="宋体"/>
                <w:color w:val="auto"/>
                <w:sz w:val="24"/>
              </w:rPr>
              <w:t>到位时效</w:t>
            </w:r>
          </w:p>
        </w:tc>
        <w:tc>
          <w:tcPr>
            <w:tcW w:w="847" w:type="dxa"/>
            <w:tcBorders>
              <w:top w:val="single" w:color="000000" w:sz="4" w:space="0"/>
              <w:left w:val="single" w:color="000000" w:sz="4" w:space="0"/>
              <w:bottom w:val="single" w:color="000000" w:sz="4" w:space="0"/>
              <w:right w:val="single" w:color="000000" w:sz="4" w:space="0"/>
            </w:tcBorders>
          </w:tcPr>
          <w:p w14:paraId="2D66E3D6">
            <w:pPr>
              <w:jc w:val="center"/>
              <w:rPr>
                <w:rFonts w:ascii="宋体" w:hAnsi="宋体"/>
                <w:color w:val="auto"/>
                <w:sz w:val="24"/>
              </w:rPr>
            </w:pPr>
            <w:r>
              <w:rPr>
                <w:rFonts w:ascii="宋体" w:hAnsi="宋体"/>
                <w:color w:val="auto"/>
                <w:sz w:val="24"/>
              </w:rPr>
              <w:t>3</w:t>
            </w:r>
          </w:p>
        </w:tc>
        <w:tc>
          <w:tcPr>
            <w:tcW w:w="1890" w:type="dxa"/>
            <w:tcBorders>
              <w:top w:val="single" w:color="000000" w:sz="4" w:space="0"/>
              <w:left w:val="single" w:color="000000" w:sz="4" w:space="0"/>
              <w:bottom w:val="single" w:color="000000" w:sz="4" w:space="0"/>
              <w:right w:val="single" w:color="000000" w:sz="4" w:space="0"/>
            </w:tcBorders>
            <w:vAlign w:val="center"/>
          </w:tcPr>
          <w:p w14:paraId="36F43DC6">
            <w:pPr>
              <w:jc w:val="center"/>
              <w:rPr>
                <w:rFonts w:ascii="宋体" w:hAnsi="宋体" w:cs="宋体"/>
                <w:color w:val="auto"/>
                <w:sz w:val="24"/>
              </w:rPr>
            </w:pPr>
            <w:r>
              <w:rPr>
                <w:rFonts w:hint="eastAsia" w:ascii="宋体" w:hAnsi="宋体"/>
                <w:color w:val="auto"/>
                <w:sz w:val="24"/>
              </w:rPr>
              <w:t>3</w:t>
            </w:r>
          </w:p>
        </w:tc>
      </w:tr>
      <w:tr w14:paraId="2D2A2689">
        <w:tblPrEx>
          <w:tblCellMar>
            <w:top w:w="0" w:type="dxa"/>
            <w:left w:w="108" w:type="dxa"/>
            <w:bottom w:w="0" w:type="dxa"/>
            <w:right w:w="108" w:type="dxa"/>
          </w:tblCellMar>
        </w:tblPrEx>
        <w:trPr>
          <w:trHeight w:val="284" w:hRule="atLeast"/>
        </w:trPr>
        <w:tc>
          <w:tcPr>
            <w:tcW w:w="1489" w:type="dxa"/>
            <w:vMerge w:val="continue"/>
            <w:tcBorders>
              <w:top w:val="single" w:color="000000" w:sz="4" w:space="0"/>
              <w:left w:val="single" w:color="000000" w:sz="4" w:space="0"/>
              <w:bottom w:val="single" w:color="000000" w:sz="4" w:space="0"/>
              <w:right w:val="single" w:color="000000" w:sz="4" w:space="0"/>
            </w:tcBorders>
            <w:vAlign w:val="center"/>
          </w:tcPr>
          <w:p w14:paraId="5F673AB5">
            <w:pPr>
              <w:spacing w:line="440" w:lineRule="exact"/>
              <w:jc w:val="center"/>
              <w:rPr>
                <w:rFonts w:ascii="宋体" w:hAnsi="宋体"/>
                <w:color w:val="auto"/>
                <w:sz w:val="24"/>
              </w:rPr>
            </w:pPr>
          </w:p>
        </w:tc>
        <w:tc>
          <w:tcPr>
            <w:tcW w:w="998" w:type="dxa"/>
            <w:vMerge w:val="continue"/>
            <w:tcBorders>
              <w:top w:val="single" w:color="000000" w:sz="4" w:space="0"/>
              <w:left w:val="single" w:color="000000" w:sz="4" w:space="0"/>
              <w:bottom w:val="single" w:color="000000" w:sz="4" w:space="0"/>
              <w:right w:val="single" w:color="000000" w:sz="4" w:space="0"/>
            </w:tcBorders>
            <w:vAlign w:val="center"/>
          </w:tcPr>
          <w:p w14:paraId="1EEF1782">
            <w:pPr>
              <w:spacing w:line="440" w:lineRule="exact"/>
              <w:jc w:val="center"/>
              <w:rPr>
                <w:rFonts w:ascii="宋体" w:hAnsi="宋体"/>
                <w:color w:val="auto"/>
                <w:sz w:val="24"/>
              </w:rPr>
            </w:pPr>
          </w:p>
        </w:tc>
        <w:tc>
          <w:tcPr>
            <w:tcW w:w="1435" w:type="dxa"/>
            <w:vMerge w:val="restart"/>
            <w:tcBorders>
              <w:top w:val="single" w:color="000000" w:sz="4" w:space="0"/>
              <w:left w:val="single" w:color="000000" w:sz="4" w:space="0"/>
              <w:bottom w:val="single" w:color="000000" w:sz="4" w:space="0"/>
              <w:right w:val="single" w:color="000000" w:sz="4" w:space="0"/>
            </w:tcBorders>
            <w:vAlign w:val="center"/>
          </w:tcPr>
          <w:p w14:paraId="602E6F00">
            <w:pPr>
              <w:autoSpaceDN w:val="0"/>
              <w:spacing w:line="440" w:lineRule="exact"/>
              <w:jc w:val="center"/>
              <w:textAlignment w:val="center"/>
              <w:rPr>
                <w:rFonts w:ascii="宋体" w:hAnsi="宋体"/>
                <w:color w:val="auto"/>
                <w:sz w:val="24"/>
              </w:rPr>
            </w:pPr>
            <w:r>
              <w:rPr>
                <w:rFonts w:hint="eastAsia" w:ascii="宋体" w:hAnsi="宋体"/>
                <w:color w:val="auto"/>
                <w:sz w:val="24"/>
              </w:rPr>
              <w:t>资金管理</w:t>
            </w:r>
          </w:p>
        </w:tc>
        <w:tc>
          <w:tcPr>
            <w:tcW w:w="890" w:type="dxa"/>
            <w:vMerge w:val="restart"/>
            <w:tcBorders>
              <w:top w:val="single" w:color="000000" w:sz="4" w:space="0"/>
              <w:left w:val="single" w:color="000000" w:sz="4" w:space="0"/>
              <w:bottom w:val="single" w:color="000000" w:sz="4" w:space="0"/>
              <w:right w:val="single" w:color="000000" w:sz="4" w:space="0"/>
            </w:tcBorders>
            <w:vAlign w:val="center"/>
          </w:tcPr>
          <w:p w14:paraId="757EF661">
            <w:pPr>
              <w:autoSpaceDN w:val="0"/>
              <w:spacing w:line="440" w:lineRule="exact"/>
              <w:jc w:val="center"/>
              <w:textAlignment w:val="center"/>
              <w:rPr>
                <w:rFonts w:ascii="宋体" w:hAnsi="宋体"/>
                <w:color w:val="auto"/>
                <w:sz w:val="24"/>
              </w:rPr>
            </w:pPr>
            <w:r>
              <w:rPr>
                <w:rFonts w:ascii="宋体" w:hAnsi="宋体"/>
                <w:color w:val="auto"/>
                <w:sz w:val="24"/>
              </w:rPr>
              <w:t>1</w:t>
            </w:r>
            <w:r>
              <w:rPr>
                <w:rFonts w:hint="eastAsia" w:ascii="宋体" w:hAnsi="宋体"/>
                <w:color w:val="auto"/>
                <w:sz w:val="24"/>
              </w:rPr>
              <w:t>7</w:t>
            </w:r>
          </w:p>
        </w:tc>
        <w:tc>
          <w:tcPr>
            <w:tcW w:w="1925" w:type="dxa"/>
            <w:tcBorders>
              <w:top w:val="single" w:color="000000" w:sz="4" w:space="0"/>
              <w:left w:val="single" w:color="000000" w:sz="4" w:space="0"/>
              <w:bottom w:val="single" w:color="000000" w:sz="4" w:space="0"/>
              <w:right w:val="single" w:color="000000" w:sz="4" w:space="0"/>
            </w:tcBorders>
            <w:vAlign w:val="center"/>
          </w:tcPr>
          <w:p w14:paraId="0EC10742">
            <w:pPr>
              <w:autoSpaceDN w:val="0"/>
              <w:spacing w:line="440" w:lineRule="exact"/>
              <w:jc w:val="center"/>
              <w:textAlignment w:val="center"/>
              <w:rPr>
                <w:rFonts w:ascii="宋体" w:hAnsi="宋体"/>
                <w:color w:val="auto"/>
                <w:sz w:val="24"/>
              </w:rPr>
            </w:pPr>
            <w:r>
              <w:rPr>
                <w:rFonts w:hint="eastAsia" w:ascii="宋体" w:hAnsi="宋体"/>
                <w:color w:val="auto"/>
                <w:sz w:val="24"/>
              </w:rPr>
              <w:t>资金使用</w:t>
            </w:r>
          </w:p>
        </w:tc>
        <w:tc>
          <w:tcPr>
            <w:tcW w:w="847" w:type="dxa"/>
            <w:tcBorders>
              <w:top w:val="single" w:color="000000" w:sz="4" w:space="0"/>
              <w:left w:val="single" w:color="000000" w:sz="4" w:space="0"/>
              <w:bottom w:val="single" w:color="000000" w:sz="4" w:space="0"/>
              <w:right w:val="single" w:color="000000" w:sz="4" w:space="0"/>
            </w:tcBorders>
          </w:tcPr>
          <w:p w14:paraId="2511C425">
            <w:pPr>
              <w:jc w:val="center"/>
              <w:rPr>
                <w:rFonts w:ascii="宋体" w:hAnsi="宋体"/>
                <w:color w:val="auto"/>
                <w:sz w:val="24"/>
              </w:rPr>
            </w:pPr>
            <w:r>
              <w:rPr>
                <w:rFonts w:ascii="宋体" w:hAnsi="宋体"/>
                <w:color w:val="auto"/>
                <w:sz w:val="24"/>
              </w:rPr>
              <w:t>12</w:t>
            </w:r>
          </w:p>
        </w:tc>
        <w:tc>
          <w:tcPr>
            <w:tcW w:w="1890" w:type="dxa"/>
            <w:tcBorders>
              <w:top w:val="single" w:color="000000" w:sz="4" w:space="0"/>
              <w:left w:val="single" w:color="000000" w:sz="4" w:space="0"/>
              <w:bottom w:val="single" w:color="000000" w:sz="4" w:space="0"/>
              <w:right w:val="single" w:color="000000" w:sz="4" w:space="0"/>
            </w:tcBorders>
            <w:vAlign w:val="center"/>
          </w:tcPr>
          <w:p w14:paraId="701A3BFA">
            <w:pPr>
              <w:jc w:val="center"/>
              <w:rPr>
                <w:rFonts w:ascii="宋体" w:hAnsi="宋体"/>
                <w:color w:val="auto"/>
                <w:sz w:val="24"/>
              </w:rPr>
            </w:pPr>
            <w:r>
              <w:rPr>
                <w:rFonts w:hint="eastAsia" w:ascii="宋体" w:hAnsi="宋体"/>
                <w:color w:val="auto"/>
                <w:sz w:val="24"/>
              </w:rPr>
              <w:t>12</w:t>
            </w:r>
          </w:p>
        </w:tc>
      </w:tr>
      <w:tr w14:paraId="42CB6982">
        <w:tblPrEx>
          <w:tblCellMar>
            <w:top w:w="0" w:type="dxa"/>
            <w:left w:w="108" w:type="dxa"/>
            <w:bottom w:w="0" w:type="dxa"/>
            <w:right w:w="108" w:type="dxa"/>
          </w:tblCellMar>
        </w:tblPrEx>
        <w:trPr>
          <w:trHeight w:val="284" w:hRule="atLeast"/>
        </w:trPr>
        <w:tc>
          <w:tcPr>
            <w:tcW w:w="1489" w:type="dxa"/>
            <w:vMerge w:val="continue"/>
            <w:tcBorders>
              <w:top w:val="single" w:color="000000" w:sz="4" w:space="0"/>
              <w:left w:val="single" w:color="000000" w:sz="4" w:space="0"/>
              <w:bottom w:val="single" w:color="000000" w:sz="4" w:space="0"/>
              <w:right w:val="single" w:color="000000" w:sz="4" w:space="0"/>
            </w:tcBorders>
            <w:vAlign w:val="center"/>
          </w:tcPr>
          <w:p w14:paraId="0460C67D">
            <w:pPr>
              <w:spacing w:line="440" w:lineRule="exact"/>
              <w:jc w:val="center"/>
              <w:rPr>
                <w:rFonts w:ascii="宋体" w:hAnsi="宋体"/>
                <w:color w:val="auto"/>
                <w:sz w:val="24"/>
              </w:rPr>
            </w:pPr>
          </w:p>
        </w:tc>
        <w:tc>
          <w:tcPr>
            <w:tcW w:w="998" w:type="dxa"/>
            <w:vMerge w:val="continue"/>
            <w:tcBorders>
              <w:top w:val="single" w:color="000000" w:sz="4" w:space="0"/>
              <w:left w:val="single" w:color="000000" w:sz="4" w:space="0"/>
              <w:bottom w:val="single" w:color="000000" w:sz="4" w:space="0"/>
              <w:right w:val="single" w:color="000000" w:sz="4" w:space="0"/>
            </w:tcBorders>
            <w:vAlign w:val="center"/>
          </w:tcPr>
          <w:p w14:paraId="5E6E1152">
            <w:pPr>
              <w:spacing w:line="440" w:lineRule="exact"/>
              <w:jc w:val="center"/>
              <w:rPr>
                <w:rFonts w:ascii="宋体" w:hAnsi="宋体"/>
                <w:color w:val="auto"/>
                <w:sz w:val="24"/>
              </w:rPr>
            </w:pPr>
          </w:p>
        </w:tc>
        <w:tc>
          <w:tcPr>
            <w:tcW w:w="1435" w:type="dxa"/>
            <w:vMerge w:val="continue"/>
            <w:tcBorders>
              <w:top w:val="single" w:color="000000" w:sz="4" w:space="0"/>
              <w:left w:val="single" w:color="000000" w:sz="4" w:space="0"/>
              <w:bottom w:val="single" w:color="000000" w:sz="4" w:space="0"/>
              <w:right w:val="single" w:color="000000" w:sz="4" w:space="0"/>
            </w:tcBorders>
            <w:vAlign w:val="center"/>
          </w:tcPr>
          <w:p w14:paraId="0F57214A">
            <w:pPr>
              <w:spacing w:line="440" w:lineRule="exact"/>
              <w:jc w:val="center"/>
              <w:rPr>
                <w:rFonts w:ascii="宋体" w:hAnsi="宋体"/>
                <w:color w:val="auto"/>
                <w:sz w:val="24"/>
              </w:rPr>
            </w:pPr>
          </w:p>
        </w:tc>
        <w:tc>
          <w:tcPr>
            <w:tcW w:w="890" w:type="dxa"/>
            <w:vMerge w:val="continue"/>
            <w:tcBorders>
              <w:top w:val="single" w:color="000000" w:sz="4" w:space="0"/>
              <w:left w:val="single" w:color="000000" w:sz="4" w:space="0"/>
              <w:bottom w:val="single" w:color="000000" w:sz="4" w:space="0"/>
              <w:right w:val="single" w:color="000000" w:sz="4" w:space="0"/>
            </w:tcBorders>
            <w:vAlign w:val="center"/>
          </w:tcPr>
          <w:p w14:paraId="7D51505F">
            <w:pPr>
              <w:spacing w:line="440" w:lineRule="exact"/>
              <w:jc w:val="center"/>
              <w:rPr>
                <w:rFonts w:ascii="宋体" w:hAnsi="宋体"/>
                <w:color w:val="auto"/>
                <w:sz w:val="24"/>
              </w:rPr>
            </w:pPr>
          </w:p>
        </w:tc>
        <w:tc>
          <w:tcPr>
            <w:tcW w:w="1925" w:type="dxa"/>
            <w:tcBorders>
              <w:top w:val="single" w:color="000000" w:sz="4" w:space="0"/>
              <w:left w:val="single" w:color="000000" w:sz="4" w:space="0"/>
              <w:bottom w:val="single" w:color="000000" w:sz="4" w:space="0"/>
              <w:right w:val="single" w:color="000000" w:sz="4" w:space="0"/>
            </w:tcBorders>
            <w:vAlign w:val="center"/>
          </w:tcPr>
          <w:p w14:paraId="3EAAE09D">
            <w:pPr>
              <w:autoSpaceDN w:val="0"/>
              <w:spacing w:line="440" w:lineRule="exact"/>
              <w:jc w:val="center"/>
              <w:textAlignment w:val="center"/>
              <w:rPr>
                <w:rFonts w:ascii="宋体" w:hAnsi="宋体"/>
                <w:color w:val="auto"/>
                <w:sz w:val="24"/>
              </w:rPr>
            </w:pPr>
            <w:r>
              <w:rPr>
                <w:rFonts w:hint="eastAsia" w:ascii="宋体" w:hAnsi="宋体"/>
                <w:color w:val="auto"/>
                <w:sz w:val="24"/>
              </w:rPr>
              <w:t>财务管理</w:t>
            </w:r>
          </w:p>
        </w:tc>
        <w:tc>
          <w:tcPr>
            <w:tcW w:w="847" w:type="dxa"/>
            <w:tcBorders>
              <w:top w:val="single" w:color="000000" w:sz="4" w:space="0"/>
              <w:left w:val="single" w:color="000000" w:sz="4" w:space="0"/>
              <w:bottom w:val="single" w:color="000000" w:sz="4" w:space="0"/>
              <w:right w:val="single" w:color="000000" w:sz="4" w:space="0"/>
            </w:tcBorders>
          </w:tcPr>
          <w:p w14:paraId="0AFF2510">
            <w:pPr>
              <w:jc w:val="center"/>
              <w:rPr>
                <w:rFonts w:ascii="宋体" w:hAnsi="宋体"/>
                <w:color w:val="auto"/>
                <w:sz w:val="24"/>
              </w:rPr>
            </w:pPr>
            <w:r>
              <w:rPr>
                <w:rFonts w:ascii="宋体" w:hAnsi="宋体"/>
                <w:color w:val="auto"/>
                <w:sz w:val="24"/>
              </w:rPr>
              <w:t>5</w:t>
            </w:r>
          </w:p>
        </w:tc>
        <w:tc>
          <w:tcPr>
            <w:tcW w:w="1890" w:type="dxa"/>
            <w:tcBorders>
              <w:top w:val="single" w:color="000000" w:sz="4" w:space="0"/>
              <w:left w:val="single" w:color="000000" w:sz="4" w:space="0"/>
              <w:bottom w:val="single" w:color="000000" w:sz="4" w:space="0"/>
              <w:right w:val="single" w:color="000000" w:sz="4" w:space="0"/>
            </w:tcBorders>
            <w:vAlign w:val="center"/>
          </w:tcPr>
          <w:p w14:paraId="0DE35614">
            <w:pPr>
              <w:jc w:val="center"/>
              <w:rPr>
                <w:rFonts w:ascii="宋体" w:hAnsi="宋体" w:cs="宋体"/>
                <w:color w:val="auto"/>
                <w:sz w:val="24"/>
              </w:rPr>
            </w:pPr>
            <w:r>
              <w:rPr>
                <w:rFonts w:hint="eastAsia" w:ascii="宋体" w:hAnsi="宋体"/>
                <w:color w:val="auto"/>
                <w:sz w:val="24"/>
              </w:rPr>
              <w:t>5</w:t>
            </w:r>
          </w:p>
        </w:tc>
      </w:tr>
      <w:tr w14:paraId="4CCC0A17">
        <w:tblPrEx>
          <w:tblCellMar>
            <w:top w:w="0" w:type="dxa"/>
            <w:left w:w="108" w:type="dxa"/>
            <w:bottom w:w="0" w:type="dxa"/>
            <w:right w:w="108" w:type="dxa"/>
          </w:tblCellMar>
        </w:tblPrEx>
        <w:trPr>
          <w:trHeight w:val="284" w:hRule="atLeast"/>
        </w:trPr>
        <w:tc>
          <w:tcPr>
            <w:tcW w:w="1489" w:type="dxa"/>
            <w:vMerge w:val="continue"/>
            <w:tcBorders>
              <w:top w:val="single" w:color="000000" w:sz="4" w:space="0"/>
              <w:left w:val="single" w:color="000000" w:sz="4" w:space="0"/>
              <w:bottom w:val="single" w:color="000000" w:sz="4" w:space="0"/>
              <w:right w:val="single" w:color="000000" w:sz="4" w:space="0"/>
            </w:tcBorders>
            <w:vAlign w:val="center"/>
          </w:tcPr>
          <w:p w14:paraId="614941A4">
            <w:pPr>
              <w:spacing w:line="440" w:lineRule="exact"/>
              <w:jc w:val="center"/>
              <w:rPr>
                <w:rFonts w:ascii="宋体" w:hAnsi="宋体"/>
                <w:color w:val="auto"/>
                <w:sz w:val="24"/>
              </w:rPr>
            </w:pPr>
          </w:p>
        </w:tc>
        <w:tc>
          <w:tcPr>
            <w:tcW w:w="998" w:type="dxa"/>
            <w:vMerge w:val="continue"/>
            <w:tcBorders>
              <w:top w:val="single" w:color="000000" w:sz="4" w:space="0"/>
              <w:left w:val="single" w:color="000000" w:sz="4" w:space="0"/>
              <w:bottom w:val="single" w:color="000000" w:sz="4" w:space="0"/>
              <w:right w:val="single" w:color="000000" w:sz="4" w:space="0"/>
            </w:tcBorders>
            <w:vAlign w:val="center"/>
          </w:tcPr>
          <w:p w14:paraId="73FA2CA5">
            <w:pPr>
              <w:spacing w:line="440" w:lineRule="exact"/>
              <w:jc w:val="center"/>
              <w:rPr>
                <w:rFonts w:ascii="宋体" w:hAnsi="宋体"/>
                <w:color w:val="auto"/>
                <w:sz w:val="24"/>
              </w:rPr>
            </w:pPr>
          </w:p>
        </w:tc>
        <w:tc>
          <w:tcPr>
            <w:tcW w:w="1435" w:type="dxa"/>
            <w:vMerge w:val="restart"/>
            <w:tcBorders>
              <w:top w:val="single" w:color="000000" w:sz="4" w:space="0"/>
              <w:left w:val="single" w:color="000000" w:sz="4" w:space="0"/>
              <w:bottom w:val="single" w:color="000000" w:sz="4" w:space="0"/>
              <w:right w:val="single" w:color="000000" w:sz="4" w:space="0"/>
            </w:tcBorders>
            <w:vAlign w:val="center"/>
          </w:tcPr>
          <w:p w14:paraId="452E5DE4">
            <w:pPr>
              <w:autoSpaceDN w:val="0"/>
              <w:spacing w:line="440" w:lineRule="exact"/>
              <w:jc w:val="center"/>
              <w:textAlignment w:val="center"/>
              <w:rPr>
                <w:rFonts w:ascii="宋体" w:hAnsi="宋体"/>
                <w:color w:val="auto"/>
                <w:sz w:val="24"/>
              </w:rPr>
            </w:pPr>
            <w:r>
              <w:rPr>
                <w:rFonts w:hint="eastAsia" w:ascii="宋体" w:hAnsi="宋体"/>
                <w:color w:val="auto"/>
                <w:sz w:val="24"/>
              </w:rPr>
              <w:t>组织实施</w:t>
            </w:r>
          </w:p>
        </w:tc>
        <w:tc>
          <w:tcPr>
            <w:tcW w:w="890" w:type="dxa"/>
            <w:vMerge w:val="restart"/>
            <w:tcBorders>
              <w:top w:val="single" w:color="000000" w:sz="4" w:space="0"/>
              <w:left w:val="single" w:color="000000" w:sz="4" w:space="0"/>
              <w:bottom w:val="single" w:color="000000" w:sz="4" w:space="0"/>
              <w:right w:val="single" w:color="000000" w:sz="4" w:space="0"/>
            </w:tcBorders>
            <w:vAlign w:val="center"/>
          </w:tcPr>
          <w:p w14:paraId="2FACE2F9">
            <w:pPr>
              <w:autoSpaceDN w:val="0"/>
              <w:spacing w:line="440" w:lineRule="exact"/>
              <w:jc w:val="center"/>
              <w:textAlignment w:val="center"/>
              <w:rPr>
                <w:rFonts w:ascii="宋体" w:hAnsi="宋体"/>
                <w:color w:val="auto"/>
                <w:sz w:val="24"/>
              </w:rPr>
            </w:pPr>
            <w:r>
              <w:rPr>
                <w:rFonts w:ascii="宋体" w:hAnsi="宋体"/>
                <w:color w:val="auto"/>
                <w:sz w:val="24"/>
              </w:rPr>
              <w:t>1</w:t>
            </w:r>
            <w:r>
              <w:rPr>
                <w:rFonts w:hint="eastAsia" w:ascii="宋体" w:hAnsi="宋体"/>
                <w:color w:val="auto"/>
                <w:sz w:val="24"/>
              </w:rPr>
              <w:t>7</w:t>
            </w:r>
          </w:p>
        </w:tc>
        <w:tc>
          <w:tcPr>
            <w:tcW w:w="1925" w:type="dxa"/>
            <w:tcBorders>
              <w:top w:val="single" w:color="000000" w:sz="4" w:space="0"/>
              <w:left w:val="single" w:color="000000" w:sz="4" w:space="0"/>
              <w:bottom w:val="single" w:color="000000" w:sz="4" w:space="0"/>
              <w:right w:val="single" w:color="000000" w:sz="4" w:space="0"/>
            </w:tcBorders>
            <w:vAlign w:val="center"/>
          </w:tcPr>
          <w:p w14:paraId="79D9392F">
            <w:pPr>
              <w:autoSpaceDN w:val="0"/>
              <w:spacing w:line="440" w:lineRule="exact"/>
              <w:jc w:val="center"/>
              <w:textAlignment w:val="center"/>
              <w:rPr>
                <w:rFonts w:ascii="宋体" w:hAnsi="宋体"/>
                <w:color w:val="auto"/>
                <w:sz w:val="24"/>
              </w:rPr>
            </w:pPr>
            <w:r>
              <w:rPr>
                <w:rFonts w:hint="eastAsia" w:ascii="宋体" w:hAnsi="宋体"/>
                <w:color w:val="auto"/>
                <w:sz w:val="24"/>
              </w:rPr>
              <w:t>组织机构</w:t>
            </w:r>
          </w:p>
        </w:tc>
        <w:tc>
          <w:tcPr>
            <w:tcW w:w="847" w:type="dxa"/>
            <w:tcBorders>
              <w:top w:val="single" w:color="000000" w:sz="4" w:space="0"/>
              <w:left w:val="single" w:color="000000" w:sz="4" w:space="0"/>
              <w:bottom w:val="single" w:color="000000" w:sz="4" w:space="0"/>
              <w:right w:val="single" w:color="000000" w:sz="4" w:space="0"/>
            </w:tcBorders>
          </w:tcPr>
          <w:p w14:paraId="697432F2">
            <w:pPr>
              <w:jc w:val="center"/>
              <w:rPr>
                <w:rFonts w:ascii="宋体" w:hAnsi="宋体"/>
                <w:color w:val="auto"/>
                <w:sz w:val="24"/>
              </w:rPr>
            </w:pPr>
            <w:r>
              <w:rPr>
                <w:rFonts w:ascii="宋体" w:hAnsi="宋体"/>
                <w:color w:val="auto"/>
                <w:sz w:val="24"/>
              </w:rPr>
              <w:t>2</w:t>
            </w:r>
          </w:p>
        </w:tc>
        <w:tc>
          <w:tcPr>
            <w:tcW w:w="1890" w:type="dxa"/>
            <w:tcBorders>
              <w:top w:val="single" w:color="000000" w:sz="4" w:space="0"/>
              <w:left w:val="single" w:color="000000" w:sz="4" w:space="0"/>
              <w:bottom w:val="single" w:color="000000" w:sz="4" w:space="0"/>
              <w:right w:val="single" w:color="000000" w:sz="4" w:space="0"/>
            </w:tcBorders>
            <w:vAlign w:val="center"/>
          </w:tcPr>
          <w:p w14:paraId="05D938C9">
            <w:pPr>
              <w:jc w:val="center"/>
              <w:rPr>
                <w:rFonts w:ascii="宋体" w:hAnsi="宋体" w:cs="宋体"/>
                <w:color w:val="auto"/>
                <w:sz w:val="24"/>
              </w:rPr>
            </w:pPr>
            <w:r>
              <w:rPr>
                <w:rFonts w:hint="eastAsia" w:ascii="宋体" w:hAnsi="宋体"/>
                <w:color w:val="auto"/>
                <w:sz w:val="24"/>
              </w:rPr>
              <w:t>2</w:t>
            </w:r>
          </w:p>
        </w:tc>
      </w:tr>
      <w:tr w14:paraId="5453F1B7">
        <w:tblPrEx>
          <w:tblCellMar>
            <w:top w:w="0" w:type="dxa"/>
            <w:left w:w="108" w:type="dxa"/>
            <w:bottom w:w="0" w:type="dxa"/>
            <w:right w:w="108" w:type="dxa"/>
          </w:tblCellMar>
        </w:tblPrEx>
        <w:trPr>
          <w:trHeight w:val="284" w:hRule="atLeast"/>
        </w:trPr>
        <w:tc>
          <w:tcPr>
            <w:tcW w:w="1489" w:type="dxa"/>
            <w:vMerge w:val="continue"/>
            <w:tcBorders>
              <w:top w:val="single" w:color="000000" w:sz="4" w:space="0"/>
              <w:left w:val="single" w:color="000000" w:sz="4" w:space="0"/>
              <w:bottom w:val="single" w:color="000000" w:sz="4" w:space="0"/>
              <w:right w:val="single" w:color="000000" w:sz="4" w:space="0"/>
            </w:tcBorders>
            <w:vAlign w:val="center"/>
          </w:tcPr>
          <w:p w14:paraId="19C74E17">
            <w:pPr>
              <w:spacing w:line="440" w:lineRule="exact"/>
              <w:jc w:val="center"/>
              <w:rPr>
                <w:rFonts w:ascii="宋体" w:hAnsi="宋体"/>
                <w:color w:val="auto"/>
                <w:sz w:val="24"/>
              </w:rPr>
            </w:pPr>
          </w:p>
        </w:tc>
        <w:tc>
          <w:tcPr>
            <w:tcW w:w="998" w:type="dxa"/>
            <w:vMerge w:val="continue"/>
            <w:tcBorders>
              <w:top w:val="single" w:color="000000" w:sz="4" w:space="0"/>
              <w:left w:val="single" w:color="000000" w:sz="4" w:space="0"/>
              <w:bottom w:val="single" w:color="000000" w:sz="4" w:space="0"/>
              <w:right w:val="single" w:color="000000" w:sz="4" w:space="0"/>
            </w:tcBorders>
            <w:vAlign w:val="center"/>
          </w:tcPr>
          <w:p w14:paraId="7C18E6D0">
            <w:pPr>
              <w:spacing w:line="440" w:lineRule="exact"/>
              <w:jc w:val="center"/>
              <w:rPr>
                <w:rFonts w:ascii="宋体" w:hAnsi="宋体"/>
                <w:color w:val="auto"/>
                <w:sz w:val="24"/>
              </w:rPr>
            </w:pPr>
          </w:p>
        </w:tc>
        <w:tc>
          <w:tcPr>
            <w:tcW w:w="1435" w:type="dxa"/>
            <w:vMerge w:val="continue"/>
            <w:tcBorders>
              <w:top w:val="single" w:color="000000" w:sz="4" w:space="0"/>
              <w:left w:val="single" w:color="000000" w:sz="4" w:space="0"/>
              <w:bottom w:val="single" w:color="000000" w:sz="4" w:space="0"/>
              <w:right w:val="single" w:color="000000" w:sz="4" w:space="0"/>
            </w:tcBorders>
            <w:vAlign w:val="center"/>
          </w:tcPr>
          <w:p w14:paraId="1952B3FF">
            <w:pPr>
              <w:spacing w:line="440" w:lineRule="exact"/>
              <w:jc w:val="center"/>
              <w:rPr>
                <w:rFonts w:ascii="宋体" w:hAnsi="宋体"/>
                <w:color w:val="auto"/>
                <w:sz w:val="24"/>
              </w:rPr>
            </w:pPr>
          </w:p>
        </w:tc>
        <w:tc>
          <w:tcPr>
            <w:tcW w:w="890" w:type="dxa"/>
            <w:vMerge w:val="continue"/>
            <w:tcBorders>
              <w:top w:val="single" w:color="000000" w:sz="4" w:space="0"/>
              <w:left w:val="single" w:color="000000" w:sz="4" w:space="0"/>
              <w:bottom w:val="single" w:color="000000" w:sz="4" w:space="0"/>
              <w:right w:val="single" w:color="000000" w:sz="4" w:space="0"/>
            </w:tcBorders>
            <w:vAlign w:val="center"/>
          </w:tcPr>
          <w:p w14:paraId="2B27EED3">
            <w:pPr>
              <w:spacing w:line="440" w:lineRule="exact"/>
              <w:jc w:val="center"/>
              <w:rPr>
                <w:rFonts w:ascii="宋体" w:hAnsi="宋体"/>
                <w:color w:val="auto"/>
                <w:sz w:val="24"/>
              </w:rPr>
            </w:pPr>
          </w:p>
        </w:tc>
        <w:tc>
          <w:tcPr>
            <w:tcW w:w="1925" w:type="dxa"/>
            <w:tcBorders>
              <w:top w:val="single" w:color="000000" w:sz="4" w:space="0"/>
              <w:left w:val="single" w:color="000000" w:sz="4" w:space="0"/>
              <w:bottom w:val="single" w:color="000000" w:sz="4" w:space="0"/>
              <w:right w:val="single" w:color="000000" w:sz="4" w:space="0"/>
            </w:tcBorders>
            <w:vAlign w:val="center"/>
          </w:tcPr>
          <w:p w14:paraId="495DCBCD">
            <w:pPr>
              <w:autoSpaceDN w:val="0"/>
              <w:spacing w:line="440" w:lineRule="exact"/>
              <w:jc w:val="center"/>
              <w:textAlignment w:val="center"/>
              <w:rPr>
                <w:rFonts w:ascii="宋体" w:hAnsi="宋体"/>
                <w:color w:val="auto"/>
                <w:sz w:val="24"/>
              </w:rPr>
            </w:pPr>
            <w:r>
              <w:rPr>
                <w:rFonts w:hint="eastAsia" w:ascii="宋体" w:hAnsi="宋体"/>
                <w:color w:val="auto"/>
                <w:sz w:val="24"/>
              </w:rPr>
              <w:t>管理制度</w:t>
            </w:r>
          </w:p>
        </w:tc>
        <w:tc>
          <w:tcPr>
            <w:tcW w:w="847" w:type="dxa"/>
            <w:tcBorders>
              <w:top w:val="single" w:color="000000" w:sz="4" w:space="0"/>
              <w:left w:val="single" w:color="000000" w:sz="4" w:space="0"/>
              <w:bottom w:val="single" w:color="000000" w:sz="4" w:space="0"/>
              <w:right w:val="single" w:color="000000" w:sz="4" w:space="0"/>
            </w:tcBorders>
          </w:tcPr>
          <w:p w14:paraId="1A21F587">
            <w:pPr>
              <w:jc w:val="center"/>
              <w:rPr>
                <w:rFonts w:ascii="宋体" w:hAnsi="宋体"/>
                <w:color w:val="auto"/>
                <w:sz w:val="24"/>
              </w:rPr>
            </w:pPr>
            <w:r>
              <w:rPr>
                <w:rFonts w:ascii="宋体" w:hAnsi="宋体"/>
                <w:color w:val="auto"/>
                <w:sz w:val="24"/>
              </w:rPr>
              <w:t>15</w:t>
            </w:r>
          </w:p>
        </w:tc>
        <w:tc>
          <w:tcPr>
            <w:tcW w:w="1890" w:type="dxa"/>
            <w:tcBorders>
              <w:top w:val="single" w:color="000000" w:sz="4" w:space="0"/>
              <w:left w:val="single" w:color="000000" w:sz="4" w:space="0"/>
              <w:bottom w:val="single" w:color="000000" w:sz="4" w:space="0"/>
              <w:right w:val="single" w:color="000000" w:sz="4" w:space="0"/>
            </w:tcBorders>
            <w:vAlign w:val="center"/>
          </w:tcPr>
          <w:p w14:paraId="57E1819C">
            <w:pPr>
              <w:jc w:val="center"/>
              <w:rPr>
                <w:rFonts w:ascii="宋体" w:hAnsi="宋体" w:cs="宋体"/>
                <w:color w:val="auto"/>
                <w:sz w:val="24"/>
              </w:rPr>
            </w:pPr>
            <w:r>
              <w:rPr>
                <w:rFonts w:hint="eastAsia" w:ascii="宋体" w:hAnsi="宋体"/>
                <w:color w:val="auto"/>
                <w:sz w:val="24"/>
              </w:rPr>
              <w:t>13</w:t>
            </w:r>
          </w:p>
        </w:tc>
      </w:tr>
      <w:tr w14:paraId="3F7E9B9B">
        <w:tblPrEx>
          <w:tblCellMar>
            <w:top w:w="0" w:type="dxa"/>
            <w:left w:w="108" w:type="dxa"/>
            <w:bottom w:w="0" w:type="dxa"/>
            <w:right w:w="108" w:type="dxa"/>
          </w:tblCellMar>
        </w:tblPrEx>
        <w:trPr>
          <w:trHeight w:val="284" w:hRule="atLeast"/>
        </w:trPr>
        <w:tc>
          <w:tcPr>
            <w:tcW w:w="1489" w:type="dxa"/>
            <w:vMerge w:val="restart"/>
            <w:tcBorders>
              <w:top w:val="single" w:color="000000" w:sz="4" w:space="0"/>
              <w:left w:val="single" w:color="000000" w:sz="4" w:space="0"/>
              <w:right w:val="single" w:color="000000" w:sz="4" w:space="0"/>
            </w:tcBorders>
            <w:vAlign w:val="center"/>
          </w:tcPr>
          <w:p w14:paraId="5D019E62">
            <w:pPr>
              <w:spacing w:line="440" w:lineRule="exact"/>
              <w:jc w:val="center"/>
              <w:rPr>
                <w:rFonts w:ascii="宋体" w:hAnsi="宋体"/>
                <w:color w:val="auto"/>
                <w:sz w:val="24"/>
              </w:rPr>
            </w:pPr>
            <w:r>
              <w:rPr>
                <w:rFonts w:hint="eastAsia" w:ascii="宋体" w:hAnsi="宋体"/>
                <w:color w:val="auto"/>
                <w:sz w:val="24"/>
              </w:rPr>
              <w:t>项目绩效</w:t>
            </w:r>
          </w:p>
        </w:tc>
        <w:tc>
          <w:tcPr>
            <w:tcW w:w="998" w:type="dxa"/>
            <w:vMerge w:val="restart"/>
            <w:tcBorders>
              <w:top w:val="single" w:color="000000" w:sz="4" w:space="0"/>
              <w:left w:val="single" w:color="000000" w:sz="4" w:space="0"/>
              <w:right w:val="single" w:color="000000" w:sz="4" w:space="0"/>
            </w:tcBorders>
            <w:vAlign w:val="center"/>
          </w:tcPr>
          <w:p w14:paraId="7E3DC658">
            <w:pPr>
              <w:spacing w:line="440" w:lineRule="exact"/>
              <w:jc w:val="center"/>
              <w:rPr>
                <w:rFonts w:ascii="宋体" w:hAnsi="宋体"/>
                <w:color w:val="auto"/>
                <w:sz w:val="24"/>
              </w:rPr>
            </w:pPr>
            <w:r>
              <w:rPr>
                <w:rFonts w:hint="eastAsia" w:ascii="宋体" w:hAnsi="宋体"/>
                <w:color w:val="auto"/>
                <w:sz w:val="24"/>
              </w:rPr>
              <w:t>25</w:t>
            </w:r>
          </w:p>
        </w:tc>
        <w:tc>
          <w:tcPr>
            <w:tcW w:w="1435" w:type="dxa"/>
            <w:vMerge w:val="restart"/>
            <w:tcBorders>
              <w:top w:val="single" w:color="000000" w:sz="4" w:space="0"/>
              <w:left w:val="single" w:color="000000" w:sz="4" w:space="0"/>
              <w:right w:val="single" w:color="000000" w:sz="4" w:space="0"/>
            </w:tcBorders>
            <w:vAlign w:val="center"/>
          </w:tcPr>
          <w:p w14:paraId="4F0A3B42">
            <w:pPr>
              <w:autoSpaceDN w:val="0"/>
              <w:spacing w:line="440" w:lineRule="exact"/>
              <w:jc w:val="center"/>
              <w:textAlignment w:val="center"/>
              <w:rPr>
                <w:rFonts w:ascii="宋体" w:hAnsi="宋体"/>
                <w:color w:val="auto"/>
                <w:sz w:val="24"/>
              </w:rPr>
            </w:pPr>
            <w:r>
              <w:rPr>
                <w:rFonts w:hint="eastAsia" w:ascii="宋体" w:hAnsi="宋体"/>
                <w:color w:val="auto"/>
                <w:sz w:val="24"/>
              </w:rPr>
              <w:t>项目产出</w:t>
            </w:r>
          </w:p>
        </w:tc>
        <w:tc>
          <w:tcPr>
            <w:tcW w:w="890" w:type="dxa"/>
            <w:vMerge w:val="restart"/>
            <w:tcBorders>
              <w:top w:val="single" w:color="000000" w:sz="4" w:space="0"/>
              <w:left w:val="single" w:color="000000" w:sz="4" w:space="0"/>
              <w:right w:val="single" w:color="000000" w:sz="4" w:space="0"/>
            </w:tcBorders>
            <w:vAlign w:val="center"/>
          </w:tcPr>
          <w:p w14:paraId="003DCC81">
            <w:pPr>
              <w:autoSpaceDN w:val="0"/>
              <w:spacing w:line="440" w:lineRule="exact"/>
              <w:jc w:val="center"/>
              <w:textAlignment w:val="center"/>
              <w:rPr>
                <w:rFonts w:ascii="宋体" w:hAnsi="宋体"/>
                <w:color w:val="auto"/>
                <w:sz w:val="24"/>
              </w:rPr>
            </w:pPr>
            <w:r>
              <w:rPr>
                <w:rFonts w:hint="eastAsia" w:ascii="宋体" w:hAnsi="宋体"/>
                <w:color w:val="auto"/>
                <w:sz w:val="24"/>
              </w:rPr>
              <w:t>2</w:t>
            </w:r>
            <w:r>
              <w:rPr>
                <w:rFonts w:ascii="宋体" w:hAnsi="宋体"/>
                <w:color w:val="auto"/>
                <w:sz w:val="24"/>
              </w:rPr>
              <w:t>5</w:t>
            </w:r>
          </w:p>
        </w:tc>
        <w:tc>
          <w:tcPr>
            <w:tcW w:w="1925" w:type="dxa"/>
            <w:tcBorders>
              <w:top w:val="single" w:color="000000" w:sz="4" w:space="0"/>
              <w:left w:val="single" w:color="000000" w:sz="4" w:space="0"/>
              <w:bottom w:val="single" w:color="000000" w:sz="4" w:space="0"/>
              <w:right w:val="single" w:color="000000" w:sz="4" w:space="0"/>
            </w:tcBorders>
            <w:vAlign w:val="center"/>
          </w:tcPr>
          <w:p w14:paraId="292D41FE">
            <w:pPr>
              <w:autoSpaceDN w:val="0"/>
              <w:spacing w:line="440" w:lineRule="exact"/>
              <w:jc w:val="center"/>
              <w:textAlignment w:val="center"/>
              <w:rPr>
                <w:rFonts w:ascii="宋体" w:hAnsi="宋体"/>
                <w:color w:val="auto"/>
                <w:sz w:val="24"/>
              </w:rPr>
            </w:pPr>
            <w:r>
              <w:rPr>
                <w:rFonts w:hint="eastAsia" w:ascii="宋体" w:hAnsi="宋体"/>
                <w:color w:val="auto"/>
                <w:sz w:val="24"/>
              </w:rPr>
              <w:t>产出数量</w:t>
            </w:r>
          </w:p>
        </w:tc>
        <w:tc>
          <w:tcPr>
            <w:tcW w:w="847" w:type="dxa"/>
            <w:tcBorders>
              <w:top w:val="single" w:color="000000" w:sz="4" w:space="0"/>
              <w:left w:val="single" w:color="000000" w:sz="4" w:space="0"/>
              <w:bottom w:val="single" w:color="000000" w:sz="4" w:space="0"/>
              <w:right w:val="single" w:color="000000" w:sz="4" w:space="0"/>
            </w:tcBorders>
          </w:tcPr>
          <w:p w14:paraId="16CD5DF0">
            <w:pPr>
              <w:jc w:val="center"/>
              <w:rPr>
                <w:rFonts w:ascii="宋体" w:hAnsi="宋体"/>
                <w:color w:val="auto"/>
                <w:sz w:val="24"/>
              </w:rPr>
            </w:pPr>
            <w:r>
              <w:rPr>
                <w:rFonts w:ascii="宋体" w:hAnsi="宋体"/>
                <w:color w:val="auto"/>
                <w:sz w:val="24"/>
              </w:rPr>
              <w:t>8</w:t>
            </w:r>
          </w:p>
        </w:tc>
        <w:tc>
          <w:tcPr>
            <w:tcW w:w="1890" w:type="dxa"/>
            <w:tcBorders>
              <w:top w:val="single" w:color="000000" w:sz="4" w:space="0"/>
              <w:left w:val="single" w:color="000000" w:sz="4" w:space="0"/>
              <w:bottom w:val="single" w:color="000000" w:sz="4" w:space="0"/>
              <w:right w:val="single" w:color="000000" w:sz="4" w:space="0"/>
            </w:tcBorders>
            <w:vAlign w:val="center"/>
          </w:tcPr>
          <w:p w14:paraId="1A880A45">
            <w:pPr>
              <w:jc w:val="center"/>
              <w:rPr>
                <w:rFonts w:ascii="宋体" w:hAnsi="宋体"/>
                <w:color w:val="auto"/>
                <w:sz w:val="24"/>
              </w:rPr>
            </w:pPr>
            <w:r>
              <w:rPr>
                <w:rFonts w:hint="eastAsia" w:ascii="宋体" w:hAnsi="宋体"/>
                <w:color w:val="auto"/>
                <w:sz w:val="24"/>
              </w:rPr>
              <w:t>8</w:t>
            </w:r>
          </w:p>
        </w:tc>
      </w:tr>
      <w:tr w14:paraId="173950D7">
        <w:tblPrEx>
          <w:tblCellMar>
            <w:top w:w="0" w:type="dxa"/>
            <w:left w:w="108" w:type="dxa"/>
            <w:bottom w:w="0" w:type="dxa"/>
            <w:right w:w="108" w:type="dxa"/>
          </w:tblCellMar>
        </w:tblPrEx>
        <w:trPr>
          <w:trHeight w:val="284" w:hRule="atLeast"/>
        </w:trPr>
        <w:tc>
          <w:tcPr>
            <w:tcW w:w="1489" w:type="dxa"/>
            <w:vMerge w:val="continue"/>
            <w:tcBorders>
              <w:left w:val="single" w:color="000000" w:sz="4" w:space="0"/>
              <w:right w:val="single" w:color="000000" w:sz="4" w:space="0"/>
            </w:tcBorders>
            <w:vAlign w:val="center"/>
          </w:tcPr>
          <w:p w14:paraId="4CA86ED7">
            <w:pPr>
              <w:spacing w:line="440" w:lineRule="exact"/>
              <w:jc w:val="center"/>
              <w:rPr>
                <w:rFonts w:ascii="宋体" w:hAnsi="宋体"/>
                <w:color w:val="auto"/>
                <w:sz w:val="24"/>
              </w:rPr>
            </w:pPr>
          </w:p>
        </w:tc>
        <w:tc>
          <w:tcPr>
            <w:tcW w:w="998" w:type="dxa"/>
            <w:vMerge w:val="continue"/>
            <w:tcBorders>
              <w:left w:val="single" w:color="000000" w:sz="4" w:space="0"/>
              <w:right w:val="single" w:color="000000" w:sz="4" w:space="0"/>
            </w:tcBorders>
            <w:vAlign w:val="center"/>
          </w:tcPr>
          <w:p w14:paraId="158438DE">
            <w:pPr>
              <w:spacing w:line="440" w:lineRule="exact"/>
              <w:jc w:val="center"/>
              <w:rPr>
                <w:rFonts w:ascii="宋体" w:hAnsi="宋体"/>
                <w:color w:val="auto"/>
                <w:sz w:val="24"/>
              </w:rPr>
            </w:pPr>
          </w:p>
        </w:tc>
        <w:tc>
          <w:tcPr>
            <w:tcW w:w="1435" w:type="dxa"/>
            <w:vMerge w:val="continue"/>
            <w:tcBorders>
              <w:left w:val="single" w:color="000000" w:sz="4" w:space="0"/>
              <w:right w:val="single" w:color="000000" w:sz="4" w:space="0"/>
            </w:tcBorders>
            <w:vAlign w:val="center"/>
          </w:tcPr>
          <w:p w14:paraId="7ADCA65D">
            <w:pPr>
              <w:spacing w:line="440" w:lineRule="exact"/>
              <w:jc w:val="center"/>
              <w:rPr>
                <w:rFonts w:ascii="宋体" w:hAnsi="宋体"/>
                <w:color w:val="auto"/>
                <w:sz w:val="24"/>
              </w:rPr>
            </w:pPr>
          </w:p>
        </w:tc>
        <w:tc>
          <w:tcPr>
            <w:tcW w:w="890" w:type="dxa"/>
            <w:vMerge w:val="continue"/>
            <w:tcBorders>
              <w:left w:val="single" w:color="000000" w:sz="4" w:space="0"/>
              <w:right w:val="single" w:color="000000" w:sz="4" w:space="0"/>
            </w:tcBorders>
            <w:vAlign w:val="center"/>
          </w:tcPr>
          <w:p w14:paraId="70BBC4B6">
            <w:pPr>
              <w:spacing w:line="440" w:lineRule="exact"/>
              <w:jc w:val="center"/>
              <w:rPr>
                <w:rFonts w:ascii="宋体" w:hAnsi="宋体"/>
                <w:color w:val="auto"/>
                <w:sz w:val="24"/>
              </w:rPr>
            </w:pPr>
          </w:p>
        </w:tc>
        <w:tc>
          <w:tcPr>
            <w:tcW w:w="1925" w:type="dxa"/>
            <w:tcBorders>
              <w:top w:val="single" w:color="000000" w:sz="4" w:space="0"/>
              <w:left w:val="single" w:color="000000" w:sz="4" w:space="0"/>
              <w:bottom w:val="single" w:color="000000" w:sz="4" w:space="0"/>
              <w:right w:val="single" w:color="000000" w:sz="4" w:space="0"/>
            </w:tcBorders>
            <w:vAlign w:val="center"/>
          </w:tcPr>
          <w:p w14:paraId="50FFDA8A">
            <w:pPr>
              <w:autoSpaceDN w:val="0"/>
              <w:spacing w:line="440" w:lineRule="exact"/>
              <w:jc w:val="center"/>
              <w:textAlignment w:val="center"/>
              <w:rPr>
                <w:rFonts w:ascii="宋体" w:hAnsi="宋体"/>
                <w:color w:val="auto"/>
                <w:sz w:val="24"/>
              </w:rPr>
            </w:pPr>
            <w:r>
              <w:rPr>
                <w:rFonts w:hint="eastAsia" w:ascii="宋体" w:hAnsi="宋体"/>
                <w:color w:val="auto"/>
                <w:sz w:val="24"/>
              </w:rPr>
              <w:t>产出质量</w:t>
            </w:r>
          </w:p>
        </w:tc>
        <w:tc>
          <w:tcPr>
            <w:tcW w:w="847" w:type="dxa"/>
            <w:tcBorders>
              <w:top w:val="single" w:color="000000" w:sz="4" w:space="0"/>
              <w:left w:val="single" w:color="000000" w:sz="4" w:space="0"/>
              <w:bottom w:val="single" w:color="000000" w:sz="4" w:space="0"/>
              <w:right w:val="single" w:color="000000" w:sz="4" w:space="0"/>
            </w:tcBorders>
          </w:tcPr>
          <w:p w14:paraId="1AA1831F">
            <w:pPr>
              <w:jc w:val="center"/>
              <w:rPr>
                <w:rFonts w:ascii="宋体" w:hAnsi="宋体"/>
                <w:color w:val="auto"/>
                <w:sz w:val="24"/>
              </w:rPr>
            </w:pPr>
            <w:r>
              <w:rPr>
                <w:rFonts w:ascii="宋体" w:hAnsi="宋体"/>
                <w:color w:val="auto"/>
                <w:sz w:val="24"/>
              </w:rPr>
              <w:t>7</w:t>
            </w:r>
          </w:p>
        </w:tc>
        <w:tc>
          <w:tcPr>
            <w:tcW w:w="1890" w:type="dxa"/>
            <w:tcBorders>
              <w:top w:val="single" w:color="000000" w:sz="4" w:space="0"/>
              <w:left w:val="single" w:color="000000" w:sz="4" w:space="0"/>
              <w:bottom w:val="single" w:color="000000" w:sz="4" w:space="0"/>
              <w:right w:val="single" w:color="000000" w:sz="4" w:space="0"/>
            </w:tcBorders>
            <w:vAlign w:val="center"/>
          </w:tcPr>
          <w:p w14:paraId="0E03090A">
            <w:pPr>
              <w:jc w:val="center"/>
              <w:rPr>
                <w:rFonts w:ascii="宋体" w:hAnsi="宋体"/>
                <w:color w:val="auto"/>
                <w:sz w:val="24"/>
              </w:rPr>
            </w:pPr>
            <w:r>
              <w:rPr>
                <w:rFonts w:hint="eastAsia" w:ascii="宋体" w:hAnsi="宋体"/>
                <w:color w:val="auto"/>
                <w:sz w:val="24"/>
              </w:rPr>
              <w:t>7</w:t>
            </w:r>
          </w:p>
        </w:tc>
      </w:tr>
      <w:tr w14:paraId="3C4280C1">
        <w:tblPrEx>
          <w:tblCellMar>
            <w:top w:w="0" w:type="dxa"/>
            <w:left w:w="108" w:type="dxa"/>
            <w:bottom w:w="0" w:type="dxa"/>
            <w:right w:w="108" w:type="dxa"/>
          </w:tblCellMar>
        </w:tblPrEx>
        <w:trPr>
          <w:trHeight w:val="284" w:hRule="atLeast"/>
        </w:trPr>
        <w:tc>
          <w:tcPr>
            <w:tcW w:w="1489" w:type="dxa"/>
            <w:vMerge w:val="continue"/>
            <w:tcBorders>
              <w:left w:val="single" w:color="000000" w:sz="4" w:space="0"/>
              <w:right w:val="single" w:color="000000" w:sz="4" w:space="0"/>
            </w:tcBorders>
            <w:vAlign w:val="center"/>
          </w:tcPr>
          <w:p w14:paraId="1B2D36DA">
            <w:pPr>
              <w:spacing w:line="440" w:lineRule="exact"/>
              <w:jc w:val="center"/>
              <w:rPr>
                <w:rFonts w:ascii="宋体" w:hAnsi="宋体"/>
                <w:color w:val="auto"/>
                <w:sz w:val="24"/>
              </w:rPr>
            </w:pPr>
          </w:p>
        </w:tc>
        <w:tc>
          <w:tcPr>
            <w:tcW w:w="998" w:type="dxa"/>
            <w:vMerge w:val="continue"/>
            <w:tcBorders>
              <w:left w:val="single" w:color="000000" w:sz="4" w:space="0"/>
              <w:right w:val="single" w:color="000000" w:sz="4" w:space="0"/>
            </w:tcBorders>
            <w:vAlign w:val="center"/>
          </w:tcPr>
          <w:p w14:paraId="7E00877D">
            <w:pPr>
              <w:spacing w:line="440" w:lineRule="exact"/>
              <w:jc w:val="center"/>
              <w:rPr>
                <w:rFonts w:ascii="宋体" w:hAnsi="宋体"/>
                <w:color w:val="auto"/>
                <w:sz w:val="24"/>
              </w:rPr>
            </w:pPr>
          </w:p>
        </w:tc>
        <w:tc>
          <w:tcPr>
            <w:tcW w:w="1435" w:type="dxa"/>
            <w:vMerge w:val="continue"/>
            <w:tcBorders>
              <w:left w:val="single" w:color="000000" w:sz="4" w:space="0"/>
              <w:right w:val="single" w:color="000000" w:sz="4" w:space="0"/>
            </w:tcBorders>
            <w:vAlign w:val="center"/>
          </w:tcPr>
          <w:p w14:paraId="35CBA893">
            <w:pPr>
              <w:spacing w:line="440" w:lineRule="exact"/>
              <w:jc w:val="center"/>
              <w:rPr>
                <w:rFonts w:ascii="宋体" w:hAnsi="宋体"/>
                <w:color w:val="auto"/>
                <w:sz w:val="24"/>
              </w:rPr>
            </w:pPr>
          </w:p>
        </w:tc>
        <w:tc>
          <w:tcPr>
            <w:tcW w:w="890" w:type="dxa"/>
            <w:vMerge w:val="continue"/>
            <w:tcBorders>
              <w:left w:val="single" w:color="000000" w:sz="4" w:space="0"/>
              <w:right w:val="single" w:color="000000" w:sz="4" w:space="0"/>
            </w:tcBorders>
            <w:vAlign w:val="center"/>
          </w:tcPr>
          <w:p w14:paraId="79B65E9D">
            <w:pPr>
              <w:spacing w:line="440" w:lineRule="exact"/>
              <w:jc w:val="center"/>
              <w:rPr>
                <w:rFonts w:ascii="宋体" w:hAnsi="宋体"/>
                <w:color w:val="auto"/>
                <w:sz w:val="24"/>
              </w:rPr>
            </w:pPr>
          </w:p>
        </w:tc>
        <w:tc>
          <w:tcPr>
            <w:tcW w:w="1925" w:type="dxa"/>
            <w:tcBorders>
              <w:top w:val="single" w:color="000000" w:sz="4" w:space="0"/>
              <w:left w:val="single" w:color="000000" w:sz="4" w:space="0"/>
              <w:bottom w:val="single" w:color="000000" w:sz="4" w:space="0"/>
              <w:right w:val="single" w:color="000000" w:sz="4" w:space="0"/>
            </w:tcBorders>
            <w:vAlign w:val="center"/>
          </w:tcPr>
          <w:p w14:paraId="39AC731F">
            <w:pPr>
              <w:autoSpaceDN w:val="0"/>
              <w:spacing w:line="440" w:lineRule="exact"/>
              <w:jc w:val="center"/>
              <w:textAlignment w:val="center"/>
              <w:rPr>
                <w:rFonts w:ascii="宋体" w:hAnsi="宋体"/>
                <w:color w:val="auto"/>
                <w:sz w:val="24"/>
              </w:rPr>
            </w:pPr>
            <w:r>
              <w:rPr>
                <w:rFonts w:hint="eastAsia" w:ascii="宋体" w:hAnsi="宋体"/>
                <w:color w:val="auto"/>
                <w:sz w:val="24"/>
              </w:rPr>
              <w:t>产出时效</w:t>
            </w:r>
          </w:p>
        </w:tc>
        <w:tc>
          <w:tcPr>
            <w:tcW w:w="847" w:type="dxa"/>
            <w:tcBorders>
              <w:top w:val="single" w:color="000000" w:sz="4" w:space="0"/>
              <w:left w:val="single" w:color="000000" w:sz="4" w:space="0"/>
              <w:bottom w:val="single" w:color="000000" w:sz="4" w:space="0"/>
              <w:right w:val="single" w:color="000000" w:sz="4" w:space="0"/>
            </w:tcBorders>
          </w:tcPr>
          <w:p w14:paraId="2BA82FDD">
            <w:pPr>
              <w:jc w:val="center"/>
              <w:rPr>
                <w:rFonts w:ascii="宋体" w:hAnsi="宋体"/>
                <w:color w:val="auto"/>
                <w:sz w:val="24"/>
              </w:rPr>
            </w:pPr>
            <w:r>
              <w:rPr>
                <w:rFonts w:ascii="宋体" w:hAnsi="宋体"/>
                <w:color w:val="auto"/>
                <w:sz w:val="24"/>
              </w:rPr>
              <w:t>5</w:t>
            </w:r>
          </w:p>
        </w:tc>
        <w:tc>
          <w:tcPr>
            <w:tcW w:w="1890" w:type="dxa"/>
            <w:tcBorders>
              <w:top w:val="single" w:color="000000" w:sz="4" w:space="0"/>
              <w:left w:val="single" w:color="000000" w:sz="4" w:space="0"/>
              <w:bottom w:val="single" w:color="000000" w:sz="4" w:space="0"/>
              <w:right w:val="single" w:color="000000" w:sz="4" w:space="0"/>
            </w:tcBorders>
            <w:vAlign w:val="center"/>
          </w:tcPr>
          <w:p w14:paraId="31A634D9">
            <w:pPr>
              <w:jc w:val="center"/>
              <w:rPr>
                <w:rFonts w:ascii="宋体" w:hAnsi="宋体" w:cs="宋体"/>
                <w:color w:val="auto"/>
                <w:sz w:val="24"/>
              </w:rPr>
            </w:pPr>
            <w:r>
              <w:rPr>
                <w:rFonts w:hint="eastAsia" w:ascii="宋体" w:hAnsi="宋体"/>
                <w:color w:val="auto"/>
                <w:sz w:val="24"/>
              </w:rPr>
              <w:t>5</w:t>
            </w:r>
          </w:p>
        </w:tc>
      </w:tr>
      <w:tr w14:paraId="240FCC58">
        <w:tblPrEx>
          <w:tblCellMar>
            <w:top w:w="0" w:type="dxa"/>
            <w:left w:w="108" w:type="dxa"/>
            <w:bottom w:w="0" w:type="dxa"/>
            <w:right w:w="108" w:type="dxa"/>
          </w:tblCellMar>
        </w:tblPrEx>
        <w:trPr>
          <w:trHeight w:val="284" w:hRule="atLeast"/>
        </w:trPr>
        <w:tc>
          <w:tcPr>
            <w:tcW w:w="1489" w:type="dxa"/>
            <w:vMerge w:val="continue"/>
            <w:tcBorders>
              <w:left w:val="single" w:color="000000" w:sz="4" w:space="0"/>
              <w:bottom w:val="single" w:color="000000" w:sz="4" w:space="0"/>
              <w:right w:val="single" w:color="000000" w:sz="4" w:space="0"/>
            </w:tcBorders>
            <w:vAlign w:val="center"/>
          </w:tcPr>
          <w:p w14:paraId="3990BB64">
            <w:pPr>
              <w:spacing w:line="440" w:lineRule="exact"/>
              <w:jc w:val="center"/>
              <w:rPr>
                <w:rFonts w:ascii="宋体" w:hAnsi="宋体"/>
                <w:color w:val="auto"/>
                <w:sz w:val="24"/>
              </w:rPr>
            </w:pPr>
          </w:p>
        </w:tc>
        <w:tc>
          <w:tcPr>
            <w:tcW w:w="998" w:type="dxa"/>
            <w:vMerge w:val="continue"/>
            <w:tcBorders>
              <w:left w:val="single" w:color="000000" w:sz="4" w:space="0"/>
              <w:bottom w:val="single" w:color="000000" w:sz="4" w:space="0"/>
              <w:right w:val="single" w:color="000000" w:sz="4" w:space="0"/>
            </w:tcBorders>
            <w:vAlign w:val="center"/>
          </w:tcPr>
          <w:p w14:paraId="3CFD5035">
            <w:pPr>
              <w:spacing w:line="440" w:lineRule="exact"/>
              <w:jc w:val="center"/>
              <w:rPr>
                <w:rFonts w:ascii="宋体" w:hAnsi="宋体"/>
                <w:color w:val="auto"/>
                <w:sz w:val="24"/>
              </w:rPr>
            </w:pPr>
          </w:p>
        </w:tc>
        <w:tc>
          <w:tcPr>
            <w:tcW w:w="1435" w:type="dxa"/>
            <w:vMerge w:val="continue"/>
            <w:tcBorders>
              <w:left w:val="single" w:color="000000" w:sz="4" w:space="0"/>
              <w:bottom w:val="single" w:color="000000" w:sz="4" w:space="0"/>
              <w:right w:val="single" w:color="000000" w:sz="4" w:space="0"/>
            </w:tcBorders>
            <w:vAlign w:val="center"/>
          </w:tcPr>
          <w:p w14:paraId="10835A92">
            <w:pPr>
              <w:spacing w:line="440" w:lineRule="exact"/>
              <w:jc w:val="center"/>
              <w:rPr>
                <w:rFonts w:ascii="宋体" w:hAnsi="宋体"/>
                <w:color w:val="auto"/>
                <w:sz w:val="24"/>
              </w:rPr>
            </w:pPr>
          </w:p>
        </w:tc>
        <w:tc>
          <w:tcPr>
            <w:tcW w:w="890" w:type="dxa"/>
            <w:vMerge w:val="continue"/>
            <w:tcBorders>
              <w:left w:val="single" w:color="000000" w:sz="4" w:space="0"/>
              <w:bottom w:val="single" w:color="000000" w:sz="4" w:space="0"/>
              <w:right w:val="single" w:color="000000" w:sz="4" w:space="0"/>
            </w:tcBorders>
            <w:vAlign w:val="center"/>
          </w:tcPr>
          <w:p w14:paraId="5ADD56B9">
            <w:pPr>
              <w:spacing w:line="440" w:lineRule="exact"/>
              <w:jc w:val="center"/>
              <w:rPr>
                <w:rFonts w:ascii="宋体" w:hAnsi="宋体"/>
                <w:color w:val="auto"/>
                <w:sz w:val="24"/>
              </w:rPr>
            </w:pPr>
          </w:p>
        </w:tc>
        <w:tc>
          <w:tcPr>
            <w:tcW w:w="1925" w:type="dxa"/>
            <w:tcBorders>
              <w:top w:val="single" w:color="000000" w:sz="4" w:space="0"/>
              <w:left w:val="single" w:color="000000" w:sz="4" w:space="0"/>
              <w:bottom w:val="single" w:color="000000" w:sz="4" w:space="0"/>
              <w:right w:val="single" w:color="000000" w:sz="4" w:space="0"/>
            </w:tcBorders>
            <w:vAlign w:val="center"/>
          </w:tcPr>
          <w:p w14:paraId="45777985">
            <w:pPr>
              <w:autoSpaceDN w:val="0"/>
              <w:spacing w:line="440" w:lineRule="exact"/>
              <w:jc w:val="center"/>
              <w:textAlignment w:val="center"/>
              <w:rPr>
                <w:rFonts w:ascii="宋体" w:hAnsi="宋体"/>
                <w:bCs/>
                <w:color w:val="auto"/>
                <w:sz w:val="24"/>
              </w:rPr>
            </w:pPr>
            <w:r>
              <w:rPr>
                <w:rFonts w:hint="eastAsia" w:ascii="宋体" w:hAnsi="宋体"/>
                <w:bCs/>
                <w:color w:val="auto"/>
                <w:sz w:val="24"/>
              </w:rPr>
              <w:t>产出成本</w:t>
            </w:r>
          </w:p>
        </w:tc>
        <w:tc>
          <w:tcPr>
            <w:tcW w:w="847" w:type="dxa"/>
            <w:tcBorders>
              <w:top w:val="single" w:color="000000" w:sz="4" w:space="0"/>
              <w:left w:val="single" w:color="000000" w:sz="4" w:space="0"/>
              <w:bottom w:val="single" w:color="000000" w:sz="4" w:space="0"/>
              <w:right w:val="single" w:color="000000" w:sz="4" w:space="0"/>
            </w:tcBorders>
          </w:tcPr>
          <w:p w14:paraId="57D2775B">
            <w:pPr>
              <w:jc w:val="center"/>
              <w:rPr>
                <w:rFonts w:ascii="宋体" w:hAnsi="宋体"/>
                <w:color w:val="auto"/>
                <w:sz w:val="24"/>
              </w:rPr>
            </w:pPr>
            <w:r>
              <w:rPr>
                <w:rFonts w:ascii="宋体" w:hAnsi="宋体"/>
                <w:color w:val="auto"/>
                <w:sz w:val="24"/>
              </w:rPr>
              <w:t>5</w:t>
            </w:r>
          </w:p>
        </w:tc>
        <w:tc>
          <w:tcPr>
            <w:tcW w:w="1890" w:type="dxa"/>
            <w:tcBorders>
              <w:top w:val="single" w:color="000000" w:sz="4" w:space="0"/>
              <w:left w:val="single" w:color="000000" w:sz="4" w:space="0"/>
              <w:bottom w:val="single" w:color="000000" w:sz="4" w:space="0"/>
              <w:right w:val="single" w:color="000000" w:sz="4" w:space="0"/>
            </w:tcBorders>
            <w:vAlign w:val="center"/>
          </w:tcPr>
          <w:p w14:paraId="47C0B55B">
            <w:pPr>
              <w:jc w:val="center"/>
              <w:rPr>
                <w:rFonts w:ascii="宋体" w:hAnsi="宋体" w:cs="宋体"/>
                <w:color w:val="auto"/>
                <w:sz w:val="24"/>
              </w:rPr>
            </w:pPr>
            <w:r>
              <w:rPr>
                <w:rFonts w:hint="eastAsia" w:ascii="宋体" w:hAnsi="宋体"/>
                <w:color w:val="auto"/>
                <w:sz w:val="24"/>
              </w:rPr>
              <w:t>5</w:t>
            </w:r>
          </w:p>
        </w:tc>
      </w:tr>
      <w:tr w14:paraId="3D440C1E">
        <w:tblPrEx>
          <w:tblCellMar>
            <w:top w:w="0" w:type="dxa"/>
            <w:left w:w="108" w:type="dxa"/>
            <w:bottom w:w="0" w:type="dxa"/>
            <w:right w:w="108" w:type="dxa"/>
          </w:tblCellMar>
        </w:tblPrEx>
        <w:trPr>
          <w:trHeight w:val="284" w:hRule="atLeast"/>
        </w:trPr>
        <w:tc>
          <w:tcPr>
            <w:tcW w:w="1489" w:type="dxa"/>
            <w:tcBorders>
              <w:top w:val="single" w:color="000000" w:sz="4" w:space="0"/>
              <w:left w:val="single" w:color="000000" w:sz="4" w:space="0"/>
              <w:bottom w:val="single" w:color="000000" w:sz="4" w:space="0"/>
              <w:right w:val="single" w:color="000000" w:sz="4" w:space="0"/>
            </w:tcBorders>
            <w:vAlign w:val="center"/>
          </w:tcPr>
          <w:p w14:paraId="322EB462">
            <w:pPr>
              <w:autoSpaceDN w:val="0"/>
              <w:spacing w:line="440" w:lineRule="exact"/>
              <w:jc w:val="center"/>
              <w:textAlignment w:val="center"/>
              <w:rPr>
                <w:rFonts w:ascii="宋体" w:hAnsi="宋体"/>
                <w:bCs/>
                <w:color w:val="auto"/>
                <w:sz w:val="24"/>
              </w:rPr>
            </w:pPr>
            <w:r>
              <w:rPr>
                <w:rFonts w:hint="eastAsia" w:ascii="宋体" w:hAnsi="宋体"/>
                <w:bCs/>
                <w:color w:val="auto"/>
                <w:sz w:val="24"/>
              </w:rPr>
              <w:t>总分</w:t>
            </w:r>
          </w:p>
        </w:tc>
        <w:tc>
          <w:tcPr>
            <w:tcW w:w="998" w:type="dxa"/>
            <w:tcBorders>
              <w:top w:val="single" w:color="000000" w:sz="4" w:space="0"/>
              <w:left w:val="single" w:color="000000" w:sz="4" w:space="0"/>
              <w:bottom w:val="single" w:color="000000" w:sz="4" w:space="0"/>
              <w:right w:val="single" w:color="000000" w:sz="4" w:space="0"/>
            </w:tcBorders>
            <w:vAlign w:val="center"/>
          </w:tcPr>
          <w:p w14:paraId="6D42050A">
            <w:pPr>
              <w:autoSpaceDN w:val="0"/>
              <w:spacing w:line="440" w:lineRule="exact"/>
              <w:jc w:val="center"/>
              <w:textAlignment w:val="center"/>
              <w:rPr>
                <w:rFonts w:ascii="宋体" w:hAnsi="宋体"/>
                <w:bCs/>
                <w:color w:val="auto"/>
                <w:sz w:val="24"/>
              </w:rPr>
            </w:pPr>
            <w:r>
              <w:rPr>
                <w:rFonts w:ascii="宋体" w:hAnsi="宋体"/>
                <w:bCs/>
                <w:color w:val="auto"/>
                <w:sz w:val="24"/>
              </w:rPr>
              <w:fldChar w:fldCharType="begin"/>
            </w:r>
            <w:r>
              <w:rPr>
                <w:rFonts w:ascii="宋体" w:hAnsi="宋体"/>
                <w:bCs/>
                <w:color w:val="auto"/>
                <w:sz w:val="24"/>
              </w:rPr>
              <w:instrText xml:space="preserve"> =SUM(ABOVE) \# "#,##0"</w:instrText>
            </w:r>
            <w:r>
              <w:rPr>
                <w:rFonts w:ascii="宋体" w:hAnsi="宋体"/>
                <w:bCs/>
                <w:color w:val="auto"/>
                <w:sz w:val="24"/>
              </w:rPr>
              <w:fldChar w:fldCharType="separate"/>
            </w:r>
            <w:r>
              <w:rPr>
                <w:rFonts w:ascii="宋体" w:hAnsi="宋体"/>
                <w:bCs/>
                <w:color w:val="auto"/>
                <w:sz w:val="24"/>
              </w:rPr>
              <w:t xml:space="preserve"> 100</w:t>
            </w:r>
            <w:r>
              <w:rPr>
                <w:rFonts w:ascii="宋体" w:hAnsi="宋体"/>
                <w:bCs/>
                <w:color w:val="auto"/>
                <w:sz w:val="24"/>
              </w:rPr>
              <w:fldChar w:fldCharType="end"/>
            </w:r>
          </w:p>
        </w:tc>
        <w:tc>
          <w:tcPr>
            <w:tcW w:w="1435" w:type="dxa"/>
            <w:tcBorders>
              <w:top w:val="single" w:color="000000" w:sz="4" w:space="0"/>
              <w:left w:val="single" w:color="000000" w:sz="4" w:space="0"/>
              <w:bottom w:val="single" w:color="000000" w:sz="4" w:space="0"/>
              <w:right w:val="single" w:color="000000" w:sz="4" w:space="0"/>
            </w:tcBorders>
            <w:vAlign w:val="center"/>
          </w:tcPr>
          <w:p w14:paraId="7BE73915">
            <w:pPr>
              <w:autoSpaceDN w:val="0"/>
              <w:spacing w:line="440" w:lineRule="exact"/>
              <w:jc w:val="center"/>
              <w:textAlignment w:val="center"/>
              <w:rPr>
                <w:rFonts w:ascii="宋体" w:hAnsi="宋体"/>
                <w:bCs/>
                <w:color w:val="auto"/>
                <w:sz w:val="24"/>
              </w:rPr>
            </w:pPr>
          </w:p>
        </w:tc>
        <w:tc>
          <w:tcPr>
            <w:tcW w:w="890" w:type="dxa"/>
            <w:tcBorders>
              <w:top w:val="single" w:color="000000" w:sz="4" w:space="0"/>
              <w:left w:val="single" w:color="000000" w:sz="4" w:space="0"/>
              <w:bottom w:val="single" w:color="000000" w:sz="4" w:space="0"/>
              <w:right w:val="single" w:color="000000" w:sz="4" w:space="0"/>
            </w:tcBorders>
            <w:vAlign w:val="center"/>
          </w:tcPr>
          <w:p w14:paraId="4783146F">
            <w:pPr>
              <w:autoSpaceDN w:val="0"/>
              <w:spacing w:line="440" w:lineRule="exact"/>
              <w:jc w:val="center"/>
              <w:textAlignment w:val="center"/>
              <w:rPr>
                <w:rFonts w:ascii="宋体" w:hAnsi="宋体"/>
                <w:bCs/>
                <w:color w:val="auto"/>
                <w:sz w:val="24"/>
              </w:rPr>
            </w:pPr>
            <w:r>
              <w:rPr>
                <w:rFonts w:ascii="宋体" w:hAnsi="宋体"/>
                <w:bCs/>
                <w:color w:val="auto"/>
                <w:sz w:val="24"/>
              </w:rPr>
              <w:t>100</w:t>
            </w:r>
          </w:p>
        </w:tc>
        <w:tc>
          <w:tcPr>
            <w:tcW w:w="1925" w:type="dxa"/>
            <w:tcBorders>
              <w:top w:val="single" w:color="000000" w:sz="4" w:space="0"/>
              <w:left w:val="single" w:color="000000" w:sz="4" w:space="0"/>
              <w:bottom w:val="single" w:color="000000" w:sz="4" w:space="0"/>
              <w:right w:val="single" w:color="000000" w:sz="4" w:space="0"/>
            </w:tcBorders>
            <w:vAlign w:val="center"/>
          </w:tcPr>
          <w:p w14:paraId="7BBBB9BE">
            <w:pPr>
              <w:autoSpaceDN w:val="0"/>
              <w:spacing w:line="440" w:lineRule="exact"/>
              <w:jc w:val="center"/>
              <w:textAlignment w:val="center"/>
              <w:rPr>
                <w:rFonts w:ascii="宋体" w:hAnsi="宋体"/>
                <w:bCs/>
                <w:color w:val="auto"/>
                <w:sz w:val="24"/>
              </w:rPr>
            </w:pPr>
          </w:p>
        </w:tc>
        <w:tc>
          <w:tcPr>
            <w:tcW w:w="847" w:type="dxa"/>
            <w:tcBorders>
              <w:top w:val="single" w:color="000000" w:sz="4" w:space="0"/>
              <w:left w:val="single" w:color="000000" w:sz="4" w:space="0"/>
              <w:bottom w:val="single" w:color="000000" w:sz="4" w:space="0"/>
              <w:right w:val="single" w:color="000000" w:sz="4" w:space="0"/>
            </w:tcBorders>
            <w:vAlign w:val="center"/>
          </w:tcPr>
          <w:p w14:paraId="5F3AF5B2">
            <w:pPr>
              <w:autoSpaceDN w:val="0"/>
              <w:spacing w:line="440" w:lineRule="exact"/>
              <w:jc w:val="center"/>
              <w:textAlignment w:val="center"/>
              <w:rPr>
                <w:rFonts w:ascii="宋体" w:hAnsi="宋体"/>
                <w:bCs/>
                <w:color w:val="auto"/>
                <w:sz w:val="24"/>
              </w:rPr>
            </w:pPr>
            <w:r>
              <w:rPr>
                <w:rFonts w:ascii="宋体" w:hAnsi="宋体"/>
                <w:bCs/>
                <w:color w:val="auto"/>
                <w:sz w:val="24"/>
              </w:rPr>
              <w:fldChar w:fldCharType="begin"/>
            </w:r>
            <w:r>
              <w:rPr>
                <w:rFonts w:ascii="宋体" w:hAnsi="宋体"/>
                <w:bCs/>
                <w:color w:val="auto"/>
                <w:sz w:val="24"/>
              </w:rPr>
              <w:instrText xml:space="preserve"> =SUM(ABOVE) </w:instrText>
            </w:r>
            <w:r>
              <w:rPr>
                <w:rFonts w:ascii="宋体" w:hAnsi="宋体"/>
                <w:bCs/>
                <w:color w:val="auto"/>
                <w:sz w:val="24"/>
              </w:rPr>
              <w:fldChar w:fldCharType="separate"/>
            </w:r>
            <w:r>
              <w:rPr>
                <w:rFonts w:ascii="宋体" w:hAnsi="宋体"/>
                <w:bCs/>
                <w:color w:val="auto"/>
                <w:sz w:val="24"/>
              </w:rPr>
              <w:t>100</w:t>
            </w:r>
            <w:r>
              <w:rPr>
                <w:rFonts w:ascii="宋体" w:hAnsi="宋体"/>
                <w:bCs/>
                <w:color w:val="auto"/>
                <w:sz w:val="24"/>
              </w:rPr>
              <w:fldChar w:fldCharType="end"/>
            </w:r>
          </w:p>
        </w:tc>
        <w:tc>
          <w:tcPr>
            <w:tcW w:w="1890" w:type="dxa"/>
            <w:tcBorders>
              <w:top w:val="single" w:color="000000" w:sz="4" w:space="0"/>
              <w:left w:val="single" w:color="000000" w:sz="4" w:space="0"/>
              <w:bottom w:val="single" w:color="000000" w:sz="4" w:space="0"/>
              <w:right w:val="single" w:color="000000" w:sz="4" w:space="0"/>
            </w:tcBorders>
            <w:vAlign w:val="center"/>
          </w:tcPr>
          <w:p w14:paraId="25D93E3E">
            <w:pPr>
              <w:autoSpaceDN w:val="0"/>
              <w:spacing w:line="440" w:lineRule="exact"/>
              <w:jc w:val="center"/>
              <w:textAlignment w:val="center"/>
              <w:rPr>
                <w:rFonts w:ascii="宋体" w:hAnsi="宋体"/>
                <w:color w:val="auto"/>
                <w:sz w:val="24"/>
              </w:rPr>
            </w:pPr>
            <w:r>
              <w:rPr>
                <w:rFonts w:ascii="宋体" w:hAnsi="宋体"/>
                <w:color w:val="auto"/>
                <w:sz w:val="24"/>
              </w:rPr>
              <w:fldChar w:fldCharType="begin"/>
            </w:r>
            <w:r>
              <w:rPr>
                <w:rFonts w:ascii="宋体" w:hAnsi="宋体"/>
                <w:color w:val="auto"/>
                <w:sz w:val="24"/>
              </w:rPr>
              <w:instrText xml:space="preserve"> =SUM(ABOVE) </w:instrText>
            </w:r>
            <w:r>
              <w:rPr>
                <w:rFonts w:ascii="宋体" w:hAnsi="宋体"/>
                <w:color w:val="auto"/>
                <w:sz w:val="24"/>
              </w:rPr>
              <w:fldChar w:fldCharType="separate"/>
            </w:r>
            <w:r>
              <w:rPr>
                <w:rFonts w:ascii="宋体" w:hAnsi="宋体"/>
                <w:color w:val="auto"/>
                <w:sz w:val="24"/>
              </w:rPr>
              <w:t>98</w:t>
            </w:r>
            <w:r>
              <w:rPr>
                <w:rFonts w:ascii="宋体" w:hAnsi="宋体"/>
                <w:color w:val="auto"/>
                <w:sz w:val="24"/>
              </w:rPr>
              <w:fldChar w:fldCharType="end"/>
            </w:r>
          </w:p>
        </w:tc>
      </w:tr>
      <w:tr w14:paraId="0EAC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812" w:type="dxa"/>
            <w:gridSpan w:val="4"/>
            <w:tcBorders>
              <w:top w:val="single" w:color="auto" w:sz="4" w:space="0"/>
              <w:left w:val="single" w:color="auto" w:sz="4" w:space="0"/>
              <w:bottom w:val="single" w:color="auto" w:sz="4" w:space="0"/>
              <w:right w:val="single" w:color="auto" w:sz="4" w:space="0"/>
            </w:tcBorders>
            <w:vAlign w:val="center"/>
          </w:tcPr>
          <w:p w14:paraId="164F29F8">
            <w:pPr>
              <w:spacing w:line="440" w:lineRule="exact"/>
              <w:jc w:val="center"/>
              <w:rPr>
                <w:rFonts w:ascii="宋体" w:hAnsi="宋体"/>
                <w:color w:val="auto"/>
                <w:sz w:val="24"/>
              </w:rPr>
            </w:pPr>
            <w:r>
              <w:rPr>
                <w:rFonts w:hint="eastAsia" w:ascii="宋体" w:hAnsi="宋体"/>
                <w:color w:val="auto"/>
                <w:sz w:val="24"/>
              </w:rPr>
              <w:t>评价等次</w:t>
            </w:r>
          </w:p>
        </w:tc>
        <w:tc>
          <w:tcPr>
            <w:tcW w:w="4662" w:type="dxa"/>
            <w:gridSpan w:val="3"/>
            <w:tcBorders>
              <w:top w:val="single" w:color="auto" w:sz="4" w:space="0"/>
              <w:left w:val="single" w:color="auto" w:sz="4" w:space="0"/>
              <w:bottom w:val="single" w:color="auto" w:sz="4" w:space="0"/>
              <w:right w:val="single" w:color="auto" w:sz="4" w:space="0"/>
            </w:tcBorders>
            <w:vAlign w:val="center"/>
          </w:tcPr>
          <w:p w14:paraId="5EB969D7">
            <w:pPr>
              <w:spacing w:line="440" w:lineRule="exact"/>
              <w:jc w:val="center"/>
              <w:rPr>
                <w:rFonts w:ascii="宋体" w:hAnsi="宋体"/>
                <w:color w:val="auto"/>
                <w:sz w:val="24"/>
              </w:rPr>
            </w:pPr>
            <w:r>
              <w:rPr>
                <w:rFonts w:hint="eastAsia" w:ascii="宋体" w:hAnsi="宋体"/>
                <w:color w:val="auto"/>
                <w:sz w:val="24"/>
              </w:rPr>
              <w:t>优</w:t>
            </w:r>
          </w:p>
        </w:tc>
      </w:tr>
    </w:tbl>
    <w:p w14:paraId="69BDF917">
      <w:pPr>
        <w:pStyle w:val="7"/>
        <w:widowControl/>
        <w:spacing w:before="0" w:beforeAutospacing="0" w:after="0" w:afterAutospacing="0" w:line="360" w:lineRule="auto"/>
        <w:ind w:firstLine="640" w:firstLineChars="200"/>
        <w:rPr>
          <w:rFonts w:hint="eastAsia" w:ascii="宋体" w:hAnsi="宋体" w:eastAsia="宋体" w:cs="宋体"/>
          <w:color w:val="auto"/>
          <w:sz w:val="32"/>
          <w:szCs w:val="32"/>
          <w:lang w:eastAsia="zh-CN"/>
        </w:rPr>
      </w:pPr>
      <w:r>
        <w:rPr>
          <w:rFonts w:hint="eastAsia" w:cs="仿宋_GB2312"/>
          <w:color w:val="auto"/>
          <w:sz w:val="32"/>
          <w:szCs w:val="32"/>
          <w:shd w:val="clear" w:color="auto" w:fill="FFFFFF"/>
          <w:lang w:val="en-US" w:eastAsia="zh-CN"/>
        </w:rPr>
        <w:t>后勤保障项目</w:t>
      </w:r>
      <w:r>
        <w:rPr>
          <w:rFonts w:cs="仿宋_GB2312"/>
          <w:color w:val="auto"/>
          <w:sz w:val="32"/>
          <w:szCs w:val="32"/>
          <w:shd w:val="clear" w:color="auto" w:fill="FFFFFF"/>
        </w:rPr>
        <w:t>项目绩效自评报告：根据年初设定的绩效目标，项目绩效自评得分为</w:t>
      </w:r>
      <w:r>
        <w:rPr>
          <w:rFonts w:hint="eastAsia" w:cs="仿宋_GB2312"/>
          <w:color w:val="auto"/>
          <w:sz w:val="32"/>
          <w:szCs w:val="32"/>
          <w:shd w:val="clear" w:color="auto" w:fill="FFFFFF"/>
        </w:rPr>
        <w:t>9</w:t>
      </w:r>
      <w:r>
        <w:rPr>
          <w:rFonts w:hint="eastAsia" w:cs="仿宋_GB2312"/>
          <w:color w:val="auto"/>
          <w:sz w:val="32"/>
          <w:szCs w:val="32"/>
          <w:shd w:val="clear" w:color="auto" w:fill="FFFFFF"/>
          <w:lang w:val="en-US" w:eastAsia="zh-CN"/>
        </w:rPr>
        <w:t>8</w:t>
      </w:r>
      <w:r>
        <w:rPr>
          <w:rFonts w:cs="仿宋_GB2312"/>
          <w:color w:val="auto"/>
          <w:sz w:val="32"/>
          <w:szCs w:val="32"/>
          <w:shd w:val="clear" w:color="auto" w:fill="FFFFFF"/>
        </w:rPr>
        <w:t>分。</w:t>
      </w:r>
      <w:r>
        <w:rPr>
          <w:rFonts w:hint="eastAsia" w:cs="仿宋"/>
          <w:bCs/>
          <w:color w:val="auto"/>
          <w:sz w:val="32"/>
          <w:szCs w:val="32"/>
        </w:rPr>
        <w:t>全年预算数为</w:t>
      </w:r>
      <w:r>
        <w:rPr>
          <w:rFonts w:hint="eastAsia" w:ascii="仿宋_GB2312" w:hAnsi="仿宋_GB2312"/>
          <w:color w:val="auto"/>
          <w:sz w:val="32"/>
          <w:szCs w:val="32"/>
          <w:lang w:val="en-US" w:eastAsia="zh-CN"/>
        </w:rPr>
        <w:t>540</w:t>
      </w:r>
      <w:r>
        <w:rPr>
          <w:rFonts w:hint="eastAsia" w:cs="仿宋"/>
          <w:bCs/>
          <w:color w:val="auto"/>
          <w:sz w:val="32"/>
          <w:szCs w:val="32"/>
        </w:rPr>
        <w:t>万元，执行数为</w:t>
      </w:r>
      <w:r>
        <w:rPr>
          <w:rFonts w:hint="eastAsia" w:ascii="仿宋_GB2312" w:hAnsi="仿宋_GB2312"/>
          <w:color w:val="auto"/>
          <w:sz w:val="32"/>
          <w:szCs w:val="32"/>
          <w:lang w:val="en-US" w:eastAsia="zh-CN"/>
        </w:rPr>
        <w:t>526.48</w:t>
      </w:r>
      <w:r>
        <w:rPr>
          <w:rFonts w:hint="eastAsia" w:cs="仿宋"/>
          <w:bCs/>
          <w:color w:val="auto"/>
          <w:sz w:val="32"/>
          <w:szCs w:val="32"/>
        </w:rPr>
        <w:t>万元，完成预算的</w:t>
      </w:r>
      <w:r>
        <w:rPr>
          <w:rFonts w:hint="eastAsia" w:cs="仿宋"/>
          <w:bCs/>
          <w:color w:val="auto"/>
          <w:sz w:val="32"/>
          <w:szCs w:val="32"/>
          <w:lang w:val="en-US" w:eastAsia="zh-CN"/>
        </w:rPr>
        <w:t>97.50</w:t>
      </w:r>
      <w:r>
        <w:rPr>
          <w:rFonts w:hint="eastAsia" w:cs="仿宋"/>
          <w:bCs/>
          <w:color w:val="auto"/>
          <w:sz w:val="32"/>
          <w:szCs w:val="32"/>
        </w:rPr>
        <w:t xml:space="preserve"> %。</w:t>
      </w:r>
      <w:r>
        <w:rPr>
          <w:rFonts w:cs="仿宋_GB2312"/>
          <w:color w:val="auto"/>
          <w:sz w:val="32"/>
          <w:szCs w:val="32"/>
          <w:shd w:val="clear" w:color="auto" w:fill="FFFFFF"/>
        </w:rPr>
        <w:t>项目绩效目标完成情况</w:t>
      </w:r>
      <w:r>
        <w:rPr>
          <w:rFonts w:hint="eastAsia" w:cs="仿宋_GB2312"/>
          <w:color w:val="auto"/>
          <w:sz w:val="32"/>
          <w:szCs w:val="32"/>
          <w:shd w:val="clear" w:color="auto" w:fill="FFFFFF"/>
          <w:lang w:eastAsia="zh-CN"/>
        </w:rPr>
        <w:t>：</w:t>
      </w:r>
      <w:r>
        <w:rPr>
          <w:rFonts w:hint="eastAsia" w:ascii="仿宋" w:hAnsi="仿宋" w:eastAsia="仿宋" w:cs="仿宋"/>
          <w:color w:val="auto"/>
          <w:sz w:val="32"/>
          <w:szCs w:val="32"/>
        </w:rPr>
        <w:t>2025</w:t>
      </w:r>
      <w:r>
        <w:rPr>
          <w:rFonts w:hint="eastAsia" w:ascii="宋体" w:hAnsi="宋体" w:eastAsia="宋体" w:cs="宋体"/>
          <w:color w:val="auto"/>
          <w:sz w:val="32"/>
          <w:szCs w:val="32"/>
        </w:rPr>
        <w:t>年后勤保障项目是维持学校教学、生活正常运转的必要支出，因此该项目经济效益间接体现在教学水平的维持和提高上。提高本校2025年教学质量平稳，教学秩序良好。该项目的实施有力地保障了本校教学工作的开展，保障了本校师生工作、学习和生活的质量，为本校提高教学水平提供了坚实基础。本校教学水平的稳步提高，为后续的</w:t>
      </w:r>
      <w:r>
        <w:rPr>
          <w:rFonts w:hint="eastAsia" w:ascii="宋体" w:hAnsi="宋体" w:cs="宋体"/>
          <w:color w:val="auto"/>
          <w:sz w:val="32"/>
          <w:szCs w:val="32"/>
          <w:lang w:val="en-US" w:eastAsia="zh-CN"/>
        </w:rPr>
        <w:t>中</w:t>
      </w:r>
      <w:r>
        <w:rPr>
          <w:rFonts w:hint="eastAsia" w:ascii="宋体" w:hAnsi="宋体" w:eastAsia="宋体" w:cs="宋体"/>
          <w:color w:val="auto"/>
          <w:sz w:val="32"/>
          <w:szCs w:val="32"/>
        </w:rPr>
        <w:t>等教育源源不断地输出高质量的毕业生源，顺应了我省经济文化快速发展的潮流，满足了广大人民群众对优质教育资源的需求，为社会带来积极的综合效益。</w:t>
      </w:r>
    </w:p>
    <w:p w14:paraId="0D04290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cs="仿宋_GB2312"/>
          <w:color w:val="auto"/>
          <w:sz w:val="32"/>
          <w:szCs w:val="32"/>
          <w:shd w:val="clear" w:color="auto" w:fill="FFFFFF"/>
          <w:lang w:val="en-US" w:eastAsia="zh-CN"/>
        </w:rPr>
      </w:pPr>
    </w:p>
    <w:p w14:paraId="7D55DE3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楷体" w:hAnsi="楷体" w:eastAsia="楷体" w:cs="楷体"/>
          <w:bCs/>
          <w:color w:val="auto"/>
          <w:sz w:val="32"/>
          <w:szCs w:val="32"/>
        </w:rPr>
        <w:t>（三）部门评价结果</w:t>
      </w:r>
    </w:p>
    <w:p w14:paraId="1129B4C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无</w:t>
      </w:r>
    </w:p>
    <w:p w14:paraId="7320DF0D">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财政评价结果</w:t>
      </w:r>
    </w:p>
    <w:p w14:paraId="7EA54F0C">
      <w:pPr>
        <w:keepNext w:val="0"/>
        <w:keepLines w:val="0"/>
        <w:pageBreakBefore w:val="0"/>
        <w:widowControl w:val="0"/>
        <w:kinsoku/>
        <w:wordWrap/>
        <w:overflowPunct/>
        <w:topLinePunct w:val="0"/>
        <w:autoSpaceDE/>
        <w:autoSpaceDN/>
        <w:bidi w:val="0"/>
        <w:adjustRightInd/>
        <w:snapToGrid/>
        <w:spacing w:line="578" w:lineRule="exact"/>
        <w:ind w:firstLine="1600" w:firstLineChars="50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无</w:t>
      </w:r>
    </w:p>
    <w:p w14:paraId="0ABCA3F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 w:hAnsi="仿宋" w:eastAsia="黑体" w:cs="仿宋"/>
          <w:color w:val="auto"/>
          <w:sz w:val="32"/>
          <w:szCs w:val="32"/>
          <w:lang w:val="en-US" w:eastAsia="zh-CN"/>
        </w:rPr>
      </w:pPr>
      <w:r>
        <w:rPr>
          <w:rFonts w:hint="eastAsia" w:ascii="黑体" w:hAnsi="黑体" w:eastAsia="黑体" w:cs="黑体"/>
          <w:bCs/>
          <w:color w:val="auto"/>
          <w:sz w:val="32"/>
          <w:szCs w:val="32"/>
          <w:lang w:val="zh-CN"/>
        </w:rPr>
        <w:t>十一、落实习惯过紧日子要求、保障重点支出情况说明</w:t>
      </w:r>
      <w:r>
        <w:rPr>
          <w:rFonts w:hint="eastAsia" w:ascii="黑体" w:hAnsi="黑体" w:eastAsia="黑体" w:cs="黑体"/>
          <w:bCs/>
          <w:color w:val="auto"/>
          <w:sz w:val="32"/>
          <w:szCs w:val="32"/>
          <w:lang w:val="en-US" w:eastAsia="zh-CN"/>
        </w:rPr>
        <w:t xml:space="preserve">  </w:t>
      </w:r>
    </w:p>
    <w:p w14:paraId="477AA9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color w:val="auto"/>
          <w:sz w:val="32"/>
          <w:szCs w:val="32"/>
          <w:lang w:val="en-US" w:eastAsia="zh-CN"/>
        </w:rPr>
      </w:pPr>
      <w:r>
        <w:rPr>
          <w:rFonts w:hint="eastAsia" w:ascii="宋体" w:hAnsi="宋体" w:cs="宋体"/>
          <w:color w:val="auto"/>
          <w:sz w:val="32"/>
          <w:szCs w:val="32"/>
          <w:lang w:val="en-US" w:eastAsia="zh-CN"/>
        </w:rPr>
        <w:t>一是2</w:t>
      </w:r>
      <w:r>
        <w:rPr>
          <w:rFonts w:hint="eastAsia" w:ascii="宋体" w:hAnsi="宋体" w:eastAsia="宋体" w:cs="宋体"/>
          <w:color w:val="auto"/>
          <w:sz w:val="32"/>
          <w:szCs w:val="32"/>
        </w:rPr>
        <w:t>025年度一般公共预算财政拨款支</w:t>
      </w:r>
      <w:r>
        <w:rPr>
          <w:rFonts w:hint="eastAsia" w:ascii="宋体" w:hAnsi="宋体" w:cs="宋体"/>
          <w:color w:val="auto"/>
          <w:sz w:val="32"/>
          <w:szCs w:val="32"/>
          <w:lang w:val="en-US" w:eastAsia="zh-CN"/>
        </w:rPr>
        <w:t>出</w:t>
      </w:r>
      <w:r>
        <w:rPr>
          <w:rFonts w:hint="eastAsia" w:ascii="宋体" w:hAnsi="宋体" w:eastAsia="宋体" w:cs="宋体"/>
          <w:color w:val="auto"/>
          <w:sz w:val="32"/>
          <w:szCs w:val="32"/>
        </w:rPr>
        <w:t>9</w:t>
      </w:r>
      <w:r>
        <w:rPr>
          <w:rFonts w:hint="eastAsia" w:ascii="宋体" w:hAnsi="宋体" w:cs="宋体"/>
          <w:color w:val="auto"/>
          <w:sz w:val="32"/>
          <w:szCs w:val="32"/>
          <w:lang w:val="en-US" w:eastAsia="zh-CN"/>
        </w:rPr>
        <w:t>,</w:t>
      </w:r>
      <w:r>
        <w:rPr>
          <w:rFonts w:hint="eastAsia" w:ascii="宋体" w:hAnsi="宋体" w:eastAsia="宋体" w:cs="宋体"/>
          <w:color w:val="auto"/>
          <w:sz w:val="32"/>
          <w:szCs w:val="32"/>
        </w:rPr>
        <w:t>525.03万元。按照党中央、国务院关于党政机关习惯过紧日子的有关要求，厉行节约办一切事业，严控一般性支出，从严压减非刚性、非重点项目经费，持续降低行政运行成本。同时坚持有保有压，优化支出结构，提高资金使用效率，合理保障</w:t>
      </w:r>
      <w:r>
        <w:rPr>
          <w:rFonts w:hint="eastAsia" w:ascii="宋体" w:hAnsi="宋体" w:cs="宋体"/>
          <w:color w:val="auto"/>
          <w:sz w:val="32"/>
          <w:szCs w:val="32"/>
          <w:lang w:val="en-US" w:eastAsia="zh-CN"/>
        </w:rPr>
        <w:t>人员</w:t>
      </w:r>
      <w:r>
        <w:rPr>
          <w:rFonts w:hint="eastAsia" w:ascii="宋体" w:hAnsi="宋体" w:eastAsia="宋体" w:cs="宋体"/>
          <w:color w:val="auto"/>
          <w:sz w:val="32"/>
          <w:szCs w:val="32"/>
        </w:rPr>
        <w:t>等重点支出</w:t>
      </w:r>
      <w:r>
        <w:rPr>
          <w:rFonts w:hint="eastAsia" w:ascii="宋体" w:hAnsi="宋体" w:eastAsia="宋体" w:cs="宋体"/>
          <w:color w:val="auto"/>
          <w:sz w:val="32"/>
          <w:szCs w:val="32"/>
          <w:lang w:val="zh-CN"/>
        </w:rPr>
        <w:t>。</w:t>
      </w:r>
      <w:r>
        <w:rPr>
          <w:rFonts w:hint="eastAsia" w:ascii="宋体" w:hAnsi="宋体" w:cs="宋体"/>
          <w:color w:val="auto"/>
          <w:sz w:val="32"/>
          <w:szCs w:val="32"/>
          <w:lang w:val="en-US" w:eastAsia="zh-CN"/>
        </w:rPr>
        <w:t>二是</w:t>
      </w:r>
      <w:r>
        <w:rPr>
          <w:rFonts w:hint="eastAsia" w:ascii="宋体" w:hAnsi="宋体" w:eastAsia="宋体" w:cs="宋体"/>
          <w:color w:val="auto"/>
          <w:sz w:val="32"/>
          <w:szCs w:val="32"/>
        </w:rPr>
        <w:t>2025年度政府性基金预算财政拨款支出</w:t>
      </w:r>
      <w:r>
        <w:rPr>
          <w:rFonts w:hint="eastAsia" w:ascii="宋体" w:hAnsi="宋体" w:cs="宋体"/>
          <w:color w:val="auto"/>
          <w:sz w:val="32"/>
          <w:szCs w:val="32"/>
          <w:lang w:val="en-US" w:eastAsia="zh-CN"/>
        </w:rPr>
        <w:t>5.64</w:t>
      </w:r>
      <w:r>
        <w:rPr>
          <w:rFonts w:hint="eastAsia" w:ascii="宋体" w:hAnsi="宋体" w:eastAsia="宋体" w:cs="宋体"/>
          <w:color w:val="auto"/>
          <w:sz w:val="32"/>
          <w:szCs w:val="32"/>
        </w:rPr>
        <w:t>万元。按照党中央、国务院关于党政机关习惯过紧日子的有关要求，厉行节约办一切事业，严控一般性支出，规范基金使用管理，杜绝资金闲置浪费。</w:t>
      </w:r>
    </w:p>
    <w:p w14:paraId="7FDC30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w:t>
      </w:r>
      <w:r>
        <w:rPr>
          <w:rFonts w:hint="eastAsia" w:ascii="黑体" w:hAnsi="黑体" w:eastAsia="黑体" w:cs="黑体"/>
          <w:bCs/>
          <w:color w:val="auto"/>
          <w:sz w:val="32"/>
          <w:szCs w:val="32"/>
          <w:lang w:val="en-US" w:eastAsia="zh-CN"/>
        </w:rPr>
        <w:t>二</w:t>
      </w:r>
      <w:r>
        <w:rPr>
          <w:rFonts w:hint="eastAsia" w:ascii="黑体" w:hAnsi="黑体" w:eastAsia="黑体" w:cs="黑体"/>
          <w:bCs/>
          <w:color w:val="auto"/>
          <w:sz w:val="32"/>
          <w:szCs w:val="32"/>
        </w:rPr>
        <w:t>、其他重要事项情况说明</w:t>
      </w:r>
    </w:p>
    <w:p w14:paraId="42D67D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92" w:name="_Toc23598_WPSOffice_Level2"/>
      <w:bookmarkStart w:id="93" w:name="_Toc5978_WPSOffice_Level2"/>
      <w:bookmarkStart w:id="94" w:name="_Toc15262_WPSOffice_Level2"/>
      <w:bookmarkStart w:id="95" w:name="_Toc32639_WPSOffice_Level2"/>
      <w:bookmarkStart w:id="96" w:name="_Toc15565_WPSOffice_Level2"/>
      <w:bookmarkStart w:id="97" w:name="_Toc18325_WPSOffice_Level2"/>
      <w:r>
        <w:rPr>
          <w:rFonts w:hint="eastAsia" w:ascii="楷体" w:hAnsi="楷体" w:eastAsia="楷体" w:cs="楷体"/>
          <w:bCs/>
          <w:color w:val="auto"/>
          <w:sz w:val="32"/>
          <w:szCs w:val="32"/>
        </w:rPr>
        <w:t>（一）机关运行经费支出情况</w:t>
      </w:r>
      <w:bookmarkEnd w:id="92"/>
      <w:bookmarkEnd w:id="93"/>
      <w:bookmarkEnd w:id="94"/>
      <w:bookmarkEnd w:id="95"/>
      <w:bookmarkEnd w:id="96"/>
      <w:bookmarkEnd w:id="97"/>
    </w:p>
    <w:p w14:paraId="3264D439">
      <w:pPr>
        <w:keepNext w:val="0"/>
        <w:keepLines w:val="0"/>
        <w:pageBreakBefore w:val="0"/>
        <w:widowControl w:val="0"/>
        <w:kinsoku/>
        <w:wordWrap/>
        <w:overflowPunct/>
        <w:topLinePunct w:val="0"/>
        <w:autoSpaceDE/>
        <w:autoSpaceDN/>
        <w:bidi w:val="0"/>
        <w:adjustRightInd/>
        <w:snapToGrid/>
        <w:spacing w:line="578" w:lineRule="exact"/>
        <w:ind w:firstLine="1280" w:firstLineChars="400"/>
        <w:textAlignment w:val="auto"/>
        <w:rPr>
          <w:rFonts w:hint="eastAsia" w:ascii="仿宋" w:hAnsi="仿宋" w:eastAsia="仿宋" w:cs="仿宋"/>
          <w:color w:val="auto"/>
          <w:sz w:val="32"/>
          <w:szCs w:val="32"/>
          <w:lang w:val="en-US" w:eastAsia="zh-CN"/>
        </w:rPr>
      </w:pPr>
      <w:bookmarkStart w:id="98" w:name="_Toc32689_WPSOffice_Level2"/>
      <w:bookmarkStart w:id="99" w:name="_Toc13084_WPSOffice_Level2"/>
      <w:bookmarkStart w:id="100" w:name="_Toc25333_WPSOffice_Level2"/>
      <w:bookmarkStart w:id="101" w:name="_Toc30383_WPSOffice_Level2"/>
      <w:bookmarkStart w:id="102" w:name="_Toc3131_WPSOffice_Level2"/>
      <w:bookmarkStart w:id="103" w:name="_Toc23966_WPSOffice_Level2"/>
      <w:r>
        <w:rPr>
          <w:rFonts w:hint="eastAsia" w:ascii="仿宋" w:hAnsi="仿宋" w:eastAsia="仿宋" w:cs="仿宋"/>
          <w:color w:val="auto"/>
          <w:sz w:val="32"/>
          <w:szCs w:val="32"/>
          <w:lang w:val="en-US" w:eastAsia="zh-CN"/>
        </w:rPr>
        <w:t>无</w:t>
      </w:r>
    </w:p>
    <w:p w14:paraId="32FB8A2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（二）政府采购支出情况</w:t>
      </w:r>
      <w:bookmarkEnd w:id="98"/>
      <w:bookmarkEnd w:id="99"/>
      <w:bookmarkEnd w:id="100"/>
      <w:bookmarkEnd w:id="101"/>
      <w:bookmarkEnd w:id="102"/>
      <w:bookmarkEnd w:id="103"/>
    </w:p>
    <w:p w14:paraId="4FA8361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s="仿宋_GB2312"/>
          <w:color w:val="auto"/>
          <w:sz w:val="32"/>
          <w:szCs w:val="32"/>
          <w:shd w:val="clear" w:color="auto" w:fill="FFFFFF"/>
        </w:rPr>
      </w:pPr>
      <w:r>
        <w:rPr>
          <w:rFonts w:ascii="仿宋_GB2312" w:hAnsi="ˎ̥" w:eastAsia="仿宋_GB2312" w:cs="仿宋_GB2312"/>
          <w:color w:val="auto"/>
          <w:sz w:val="32"/>
          <w:szCs w:val="32"/>
          <w:shd w:val="clear" w:color="auto" w:fill="FFFFFF"/>
        </w:rPr>
        <w:t>202</w:t>
      </w:r>
      <w:r>
        <w:rPr>
          <w:rFonts w:hint="eastAsia" w:ascii="仿宋_GB2312" w:hAnsi="ˎ̥" w:eastAsia="仿宋_GB2312" w:cs="仿宋_GB2312"/>
          <w:color w:val="auto"/>
          <w:sz w:val="32"/>
          <w:szCs w:val="32"/>
          <w:shd w:val="clear" w:color="auto" w:fill="FFFFFF"/>
          <w:lang w:val="en-US" w:eastAsia="zh-CN"/>
        </w:rPr>
        <w:t>5</w:t>
      </w:r>
      <w:r>
        <w:rPr>
          <w:rFonts w:ascii="仿宋_GB2312" w:hAnsi="ˎ̥" w:eastAsia="仿宋_GB2312" w:cs="仿宋_GB2312"/>
          <w:color w:val="auto"/>
          <w:sz w:val="32"/>
          <w:szCs w:val="32"/>
          <w:shd w:val="clear" w:color="auto" w:fill="FFFFFF"/>
        </w:rPr>
        <w:t>年度</w:t>
      </w:r>
      <w:r>
        <w:rPr>
          <w:rFonts w:hint="eastAsia" w:ascii="仿宋_GB2312" w:hAnsi="ˎ̥" w:eastAsia="仿宋_GB2312" w:cs="仿宋_GB2312"/>
          <w:color w:val="auto"/>
          <w:sz w:val="32"/>
          <w:szCs w:val="32"/>
          <w:shd w:val="clear" w:color="auto" w:fill="FFFFFF"/>
        </w:rPr>
        <w:t>海</w:t>
      </w:r>
      <w:r>
        <w:rPr>
          <w:rFonts w:ascii="仿宋_GB2312" w:hAnsi="ˎ̥" w:eastAsia="仿宋_GB2312" w:cs="仿宋_GB2312"/>
          <w:color w:val="auto"/>
          <w:sz w:val="32"/>
          <w:szCs w:val="32"/>
          <w:shd w:val="clear" w:color="auto" w:fill="FFFFFF"/>
        </w:rPr>
        <w:t>南师范大学附属中学政府采购支出总额</w:t>
      </w:r>
      <w:r>
        <w:rPr>
          <w:rFonts w:hint="eastAsia" w:ascii="仿宋_GB2312" w:hAnsi="ˎ̥" w:eastAsia="仿宋_GB2312" w:cs="仿宋_GB2312"/>
          <w:color w:val="auto"/>
          <w:sz w:val="32"/>
          <w:szCs w:val="32"/>
          <w:shd w:val="clear" w:color="auto" w:fill="FFFFFF"/>
          <w:lang w:val="en-US" w:eastAsia="zh-CN"/>
        </w:rPr>
        <w:t>281.66</w:t>
      </w:r>
      <w:r>
        <w:rPr>
          <w:rFonts w:ascii="仿宋_GB2312" w:hAnsi="ˎ̥" w:eastAsia="仿宋_GB2312" w:cs="仿宋_GB2312"/>
          <w:color w:val="auto"/>
          <w:sz w:val="32"/>
          <w:szCs w:val="32"/>
          <w:shd w:val="clear" w:color="auto" w:fill="FFFFFF"/>
        </w:rPr>
        <w:t>万元，其中：政府采购货物支出</w:t>
      </w:r>
      <w:r>
        <w:rPr>
          <w:rFonts w:hint="eastAsia" w:ascii="仿宋_GB2312" w:hAnsi="ˎ̥" w:eastAsia="仿宋_GB2312" w:cs="仿宋_GB2312"/>
          <w:color w:val="auto"/>
          <w:sz w:val="32"/>
          <w:szCs w:val="32"/>
          <w:shd w:val="clear" w:color="auto" w:fill="FFFFFF"/>
          <w:lang w:val="en-US" w:eastAsia="zh-CN"/>
        </w:rPr>
        <w:t>0</w:t>
      </w:r>
      <w:r>
        <w:rPr>
          <w:rFonts w:ascii="仿宋_GB2312" w:hAnsi="ˎ̥" w:eastAsia="仿宋_GB2312" w:cs="仿宋_GB2312"/>
          <w:color w:val="auto"/>
          <w:sz w:val="32"/>
          <w:szCs w:val="32"/>
          <w:shd w:val="clear" w:color="auto" w:fill="FFFFFF"/>
        </w:rPr>
        <w:t>万元、政府采购工程支出</w:t>
      </w:r>
      <w:r>
        <w:rPr>
          <w:rFonts w:hint="eastAsia" w:ascii="仿宋_GB2312" w:hAnsi="ˎ̥" w:eastAsia="仿宋_GB2312" w:cs="仿宋_GB2312"/>
          <w:color w:val="auto"/>
          <w:sz w:val="32"/>
          <w:szCs w:val="32"/>
          <w:shd w:val="clear" w:color="auto" w:fill="FFFFFF"/>
          <w:lang w:val="en-US" w:eastAsia="zh-CN"/>
        </w:rPr>
        <w:t>281.66</w:t>
      </w:r>
      <w:r>
        <w:rPr>
          <w:rFonts w:ascii="仿宋_GB2312" w:hAnsi="ˎ̥" w:eastAsia="仿宋_GB2312" w:cs="仿宋_GB2312"/>
          <w:color w:val="auto"/>
          <w:sz w:val="32"/>
          <w:szCs w:val="32"/>
          <w:shd w:val="clear" w:color="auto" w:fill="FFFFFF"/>
        </w:rPr>
        <w:t>万元、政府采购服务支出</w:t>
      </w:r>
      <w:r>
        <w:rPr>
          <w:rFonts w:hint="eastAsia" w:ascii="仿宋_GB2312" w:hAnsi="ˎ̥" w:eastAsia="仿宋_GB2312" w:cs="仿宋_GB2312"/>
          <w:color w:val="auto"/>
          <w:sz w:val="32"/>
          <w:szCs w:val="32"/>
          <w:shd w:val="clear" w:color="auto" w:fill="FFFFFF"/>
        </w:rPr>
        <w:t>0</w:t>
      </w:r>
      <w:r>
        <w:rPr>
          <w:rFonts w:ascii="仿宋_GB2312" w:hAnsi="ˎ̥" w:eastAsia="仿宋_GB2312" w:cs="仿宋_GB2312"/>
          <w:color w:val="auto"/>
          <w:sz w:val="32"/>
          <w:szCs w:val="32"/>
          <w:shd w:val="clear" w:color="auto" w:fill="FFFFFF"/>
        </w:rPr>
        <w:t>万元。授予中小企业合同金额</w:t>
      </w:r>
      <w:r>
        <w:rPr>
          <w:rFonts w:hint="eastAsia" w:ascii="仿宋_GB2312" w:hAnsi="ˎ̥" w:eastAsia="仿宋_GB2312" w:cs="仿宋_GB2312"/>
          <w:color w:val="auto"/>
          <w:sz w:val="32"/>
          <w:szCs w:val="32"/>
          <w:shd w:val="clear" w:color="auto" w:fill="FFFFFF"/>
          <w:lang w:val="en-US" w:eastAsia="zh-CN"/>
        </w:rPr>
        <w:t>281.66</w:t>
      </w:r>
      <w:r>
        <w:rPr>
          <w:rFonts w:ascii="仿宋_GB2312" w:hAnsi="ˎ̥" w:eastAsia="仿宋_GB2312" w:cs="仿宋_GB2312"/>
          <w:color w:val="auto"/>
          <w:sz w:val="32"/>
          <w:szCs w:val="32"/>
          <w:shd w:val="clear" w:color="auto" w:fill="FFFFFF"/>
        </w:rPr>
        <w:t>万元，占政府采购支出总额的</w:t>
      </w:r>
      <w:r>
        <w:rPr>
          <w:rFonts w:hint="eastAsia" w:ascii="仿宋_GB2312" w:hAnsi="ˎ̥" w:eastAsia="仿宋_GB2312" w:cs="仿宋_GB2312"/>
          <w:color w:val="auto"/>
          <w:sz w:val="32"/>
          <w:szCs w:val="32"/>
          <w:shd w:val="clear" w:color="auto" w:fill="FFFFFF"/>
        </w:rPr>
        <w:t>100</w:t>
      </w:r>
      <w:r>
        <w:rPr>
          <w:rFonts w:ascii="仿宋_GB2312" w:hAnsi="ˎ̥" w:eastAsia="仿宋_GB2312" w:cs="仿宋_GB2312"/>
          <w:color w:val="auto"/>
          <w:sz w:val="32"/>
          <w:szCs w:val="32"/>
          <w:shd w:val="clear" w:color="auto" w:fill="FFFFFF"/>
        </w:rPr>
        <w:t>%。</w:t>
      </w:r>
    </w:p>
    <w:p w14:paraId="5D7FFAF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（注：上述政府采购支出相关</w:t>
      </w:r>
      <w:r>
        <w:rPr>
          <w:rFonts w:hint="eastAsia" w:ascii="仿宋" w:hAnsi="仿宋" w:eastAsia="仿宋" w:cs="仿宋"/>
          <w:color w:val="auto"/>
          <w:sz w:val="32"/>
          <w:szCs w:val="32"/>
          <w:lang w:val="en-US" w:eastAsia="zh-CN"/>
        </w:rPr>
        <w:t>数据</w:t>
      </w:r>
      <w:r>
        <w:rPr>
          <w:rFonts w:hint="eastAsia" w:ascii="仿宋" w:hAnsi="仿宋" w:eastAsia="仿宋" w:cs="仿宋"/>
          <w:color w:val="auto"/>
          <w:sz w:val="32"/>
          <w:szCs w:val="32"/>
        </w:rPr>
        <w:t>取自</w:t>
      </w: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年度部门决算报表F03表《机构运行信息表》，授予中小企业和小微企业合同金额由各部门查阅本部门相关资料填写。）</w:t>
      </w:r>
    </w:p>
    <w:p w14:paraId="3061DC4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04" w:name="_Toc19989_WPSOffice_Level2"/>
      <w:bookmarkStart w:id="105" w:name="_Toc10902_WPSOffice_Level2"/>
      <w:bookmarkStart w:id="106" w:name="_Toc6016_WPSOffice_Level2"/>
      <w:bookmarkStart w:id="107" w:name="_Toc527_WPSOffice_Level2"/>
      <w:bookmarkStart w:id="108" w:name="_Toc15129_WPSOffice_Level2"/>
      <w:bookmarkStart w:id="109" w:name="_Toc29584_WPSOffice_Level2"/>
      <w:r>
        <w:rPr>
          <w:rFonts w:hint="eastAsia" w:ascii="楷体" w:hAnsi="楷体" w:eastAsia="楷体" w:cs="楷体"/>
          <w:bCs/>
          <w:color w:val="auto"/>
          <w:sz w:val="32"/>
          <w:szCs w:val="32"/>
        </w:rPr>
        <w:t>（三）国有资产占用情况</w:t>
      </w:r>
      <w:bookmarkEnd w:id="104"/>
      <w:bookmarkEnd w:id="105"/>
      <w:bookmarkEnd w:id="106"/>
      <w:bookmarkEnd w:id="107"/>
      <w:bookmarkEnd w:id="108"/>
      <w:bookmarkEnd w:id="109"/>
    </w:p>
    <w:p w14:paraId="4FC4FEB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bCs/>
          <w:color w:val="auto"/>
          <w:sz w:val="32"/>
          <w:szCs w:val="32"/>
        </w:rPr>
        <w:t>截至</w:t>
      </w:r>
      <w:r>
        <w:rPr>
          <w:rFonts w:hint="eastAsia" w:ascii="仿宋" w:hAnsi="仿宋" w:eastAsia="仿宋" w:cs="仿宋"/>
          <w:bCs/>
          <w:color w:val="auto"/>
          <w:sz w:val="32"/>
          <w:szCs w:val="32"/>
          <w:lang w:val="en-US"/>
        </w:rPr>
        <w:t>2025</w:t>
      </w:r>
      <w:r>
        <w:rPr>
          <w:rFonts w:hint="eastAsia" w:ascii="仿宋" w:hAnsi="仿宋" w:eastAsia="仿宋" w:cs="仿宋"/>
          <w:bCs/>
          <w:color w:val="auto"/>
          <w:sz w:val="32"/>
          <w:szCs w:val="32"/>
        </w:rPr>
        <w:t>年12月31日，本部门拥有</w:t>
      </w:r>
      <w:r>
        <w:rPr>
          <w:rFonts w:hint="eastAsia" w:ascii="仿宋" w:hAnsi="仿宋" w:eastAsia="仿宋" w:cs="仿宋"/>
          <w:color w:val="auto"/>
          <w:sz w:val="32"/>
          <w:szCs w:val="32"/>
        </w:rPr>
        <w:t>房屋面积</w:t>
      </w:r>
      <w:r>
        <w:rPr>
          <w:rFonts w:hint="eastAsia" w:ascii="仿宋" w:hAnsi="仿宋" w:eastAsia="仿宋" w:cs="仿宋"/>
          <w:color w:val="auto"/>
          <w:sz w:val="32"/>
          <w:szCs w:val="32"/>
          <w:lang w:val="en-US" w:eastAsia="zh-CN"/>
        </w:rPr>
        <w:t>90785.55</w:t>
      </w:r>
      <w:r>
        <w:rPr>
          <w:rFonts w:hint="eastAsia" w:ascii="仿宋" w:hAnsi="仿宋" w:eastAsia="仿宋" w:cs="仿宋"/>
          <w:color w:val="auto"/>
          <w:sz w:val="32"/>
          <w:szCs w:val="32"/>
        </w:rPr>
        <w:t>平方米</w:t>
      </w:r>
      <w:r>
        <w:rPr>
          <w:rFonts w:hint="eastAsia" w:ascii="仿宋" w:hAnsi="仿宋" w:eastAsia="仿宋" w:cs="仿宋"/>
          <w:color w:val="auto"/>
          <w:sz w:val="32"/>
          <w:szCs w:val="32"/>
          <w:lang w:eastAsia="zh-CN"/>
        </w:rPr>
        <w:t>。</w:t>
      </w:r>
    </w:p>
    <w:p w14:paraId="378F9161">
      <w:pPr>
        <w:keepNext w:val="0"/>
        <w:keepLines w:val="0"/>
        <w:pageBreakBefore w:val="0"/>
        <w:widowControl/>
        <w:kinsoku/>
        <w:wordWrap/>
        <w:overflowPunct/>
        <w:topLinePunct w:val="0"/>
        <w:autoSpaceDE/>
        <w:bidi w:val="0"/>
        <w:adjustRightInd/>
        <w:snapToGrid/>
        <w:spacing w:after="100" w:afterAutospacing="1" w:line="578" w:lineRule="exact"/>
        <w:ind w:firstLine="640" w:firstLineChars="200"/>
        <w:rPr>
          <w:rFonts w:hint="eastAsia" w:ascii="仿宋" w:hAnsi="仿宋" w:eastAsia="仿宋" w:cs="仿宋"/>
          <w:color w:val="auto"/>
          <w:sz w:val="32"/>
          <w:szCs w:val="32"/>
        </w:rPr>
      </w:pPr>
      <w:r>
        <w:rPr>
          <w:rFonts w:ascii="仿宋_GB2312" w:hAnsi="ˎ̥" w:eastAsia="仿宋_GB2312" w:cs="仿宋_GB2312"/>
          <w:color w:val="auto"/>
          <w:sz w:val="32"/>
          <w:szCs w:val="32"/>
          <w:shd w:val="clear" w:color="auto" w:fill="FFFFFF"/>
        </w:rPr>
        <w:t>本部门共有车辆</w:t>
      </w:r>
      <w:r>
        <w:rPr>
          <w:rFonts w:hint="eastAsia" w:ascii="仿宋_GB2312" w:hAnsi="ˎ̥" w:eastAsia="仿宋_GB2312" w:cs="仿宋_GB2312"/>
          <w:color w:val="auto"/>
          <w:sz w:val="32"/>
          <w:szCs w:val="32"/>
          <w:shd w:val="clear" w:color="auto" w:fill="FFFFFF"/>
          <w:lang w:val="en-US" w:eastAsia="zh-CN"/>
        </w:rPr>
        <w:t>2</w:t>
      </w:r>
      <w:r>
        <w:rPr>
          <w:rFonts w:ascii="仿宋_GB2312" w:hAnsi="ˎ̥" w:eastAsia="仿宋_GB2312" w:cs="仿宋_GB2312"/>
          <w:color w:val="auto"/>
          <w:sz w:val="32"/>
          <w:szCs w:val="32"/>
          <w:shd w:val="clear" w:color="auto" w:fill="FFFFFF"/>
        </w:rPr>
        <w:t>辆，其中，副部（省）级及以上领导用车</w:t>
      </w:r>
      <w:r>
        <w:rPr>
          <w:rFonts w:hint="eastAsia" w:ascii="仿宋_GB2312" w:hAnsi="ˎ̥" w:eastAsia="仿宋_GB2312" w:cs="仿宋_GB2312"/>
          <w:color w:val="auto"/>
          <w:sz w:val="32"/>
          <w:szCs w:val="32"/>
          <w:shd w:val="clear" w:color="auto" w:fill="FFFFFF"/>
        </w:rPr>
        <w:t>0</w:t>
      </w:r>
      <w:r>
        <w:rPr>
          <w:rFonts w:ascii="仿宋_GB2312" w:hAnsi="ˎ̥" w:eastAsia="仿宋_GB2312" w:cs="仿宋_GB2312"/>
          <w:color w:val="auto"/>
          <w:sz w:val="32"/>
          <w:szCs w:val="32"/>
          <w:shd w:val="clear" w:color="auto" w:fill="FFFFFF"/>
        </w:rPr>
        <w:t>辆、主要领导干部用车</w:t>
      </w:r>
      <w:r>
        <w:rPr>
          <w:rFonts w:hint="eastAsia" w:ascii="仿宋_GB2312" w:hAnsi="ˎ̥" w:eastAsia="仿宋_GB2312" w:cs="仿宋_GB2312"/>
          <w:color w:val="auto"/>
          <w:sz w:val="32"/>
          <w:szCs w:val="32"/>
          <w:shd w:val="clear" w:color="auto" w:fill="FFFFFF"/>
        </w:rPr>
        <w:t>0</w:t>
      </w:r>
      <w:r>
        <w:rPr>
          <w:rFonts w:ascii="仿宋_GB2312" w:hAnsi="ˎ̥" w:eastAsia="仿宋_GB2312" w:cs="仿宋_GB2312"/>
          <w:color w:val="auto"/>
          <w:sz w:val="32"/>
          <w:szCs w:val="32"/>
          <w:shd w:val="clear" w:color="auto" w:fill="FFFFFF"/>
        </w:rPr>
        <w:t>辆、机要通信用车</w:t>
      </w:r>
      <w:r>
        <w:rPr>
          <w:rFonts w:hint="eastAsia" w:ascii="仿宋_GB2312" w:hAnsi="ˎ̥" w:eastAsia="仿宋_GB2312" w:cs="仿宋_GB2312"/>
          <w:color w:val="auto"/>
          <w:sz w:val="32"/>
          <w:szCs w:val="32"/>
          <w:shd w:val="clear" w:color="auto" w:fill="FFFFFF"/>
        </w:rPr>
        <w:t>0</w:t>
      </w:r>
      <w:r>
        <w:rPr>
          <w:rFonts w:ascii="仿宋_GB2312" w:hAnsi="ˎ̥" w:eastAsia="仿宋_GB2312" w:cs="仿宋_GB2312"/>
          <w:color w:val="auto"/>
          <w:sz w:val="32"/>
          <w:szCs w:val="32"/>
          <w:shd w:val="clear" w:color="auto" w:fill="FFFFFF"/>
        </w:rPr>
        <w:t>辆、应急保障用车</w:t>
      </w:r>
      <w:r>
        <w:rPr>
          <w:rFonts w:hint="eastAsia" w:ascii="仿宋_GB2312" w:hAnsi="ˎ̥" w:eastAsia="仿宋_GB2312" w:cs="仿宋_GB2312"/>
          <w:color w:val="auto"/>
          <w:sz w:val="32"/>
          <w:szCs w:val="32"/>
          <w:shd w:val="clear" w:color="auto" w:fill="FFFFFF"/>
        </w:rPr>
        <w:t>0</w:t>
      </w:r>
      <w:r>
        <w:rPr>
          <w:rFonts w:ascii="仿宋_GB2312" w:hAnsi="ˎ̥" w:eastAsia="仿宋_GB2312" w:cs="仿宋_GB2312"/>
          <w:color w:val="auto"/>
          <w:sz w:val="32"/>
          <w:szCs w:val="32"/>
          <w:shd w:val="clear" w:color="auto" w:fill="FFFFFF"/>
        </w:rPr>
        <w:t>辆、执法执勤用车</w:t>
      </w:r>
      <w:r>
        <w:rPr>
          <w:rFonts w:hint="eastAsia" w:ascii="仿宋_GB2312" w:hAnsi="ˎ̥" w:eastAsia="仿宋_GB2312" w:cs="仿宋_GB2312"/>
          <w:color w:val="auto"/>
          <w:sz w:val="32"/>
          <w:szCs w:val="32"/>
          <w:shd w:val="clear" w:color="auto" w:fill="FFFFFF"/>
        </w:rPr>
        <w:t>0</w:t>
      </w:r>
      <w:r>
        <w:rPr>
          <w:rFonts w:ascii="仿宋_GB2312" w:hAnsi="ˎ̥" w:eastAsia="仿宋_GB2312" w:cs="仿宋_GB2312"/>
          <w:color w:val="auto"/>
          <w:sz w:val="32"/>
          <w:szCs w:val="32"/>
          <w:shd w:val="clear" w:color="auto" w:fill="FFFFFF"/>
        </w:rPr>
        <w:t>辆、特种专业技术用车</w:t>
      </w:r>
      <w:r>
        <w:rPr>
          <w:rFonts w:hint="eastAsia" w:ascii="仿宋_GB2312" w:hAnsi="ˎ̥" w:eastAsia="仿宋_GB2312" w:cs="仿宋_GB2312"/>
          <w:color w:val="auto"/>
          <w:sz w:val="32"/>
          <w:szCs w:val="32"/>
          <w:shd w:val="clear" w:color="auto" w:fill="FFFFFF"/>
        </w:rPr>
        <w:t>0</w:t>
      </w:r>
      <w:r>
        <w:rPr>
          <w:rFonts w:ascii="仿宋_GB2312" w:hAnsi="ˎ̥" w:eastAsia="仿宋_GB2312" w:cs="仿宋_GB2312"/>
          <w:color w:val="auto"/>
          <w:sz w:val="32"/>
          <w:szCs w:val="32"/>
          <w:shd w:val="clear" w:color="auto" w:fill="FFFFFF"/>
        </w:rPr>
        <w:t>辆、离退休干部用车</w:t>
      </w:r>
      <w:r>
        <w:rPr>
          <w:rFonts w:hint="eastAsia" w:ascii="仿宋_GB2312" w:hAnsi="ˎ̥" w:eastAsia="仿宋_GB2312" w:cs="仿宋_GB2312"/>
          <w:color w:val="auto"/>
          <w:sz w:val="32"/>
          <w:szCs w:val="32"/>
          <w:shd w:val="clear" w:color="auto" w:fill="FFFFFF"/>
        </w:rPr>
        <w:t>0</w:t>
      </w:r>
      <w:r>
        <w:rPr>
          <w:rFonts w:ascii="仿宋_GB2312" w:hAnsi="ˎ̥" w:eastAsia="仿宋_GB2312" w:cs="仿宋_GB2312"/>
          <w:color w:val="auto"/>
          <w:sz w:val="32"/>
          <w:szCs w:val="32"/>
          <w:shd w:val="clear" w:color="auto" w:fill="FFFFFF"/>
        </w:rPr>
        <w:t>辆、其他用车</w:t>
      </w:r>
      <w:r>
        <w:rPr>
          <w:rFonts w:hint="eastAsia" w:ascii="仿宋_GB2312" w:hAnsi="ˎ̥" w:eastAsia="仿宋_GB2312" w:cs="仿宋_GB2312"/>
          <w:color w:val="auto"/>
          <w:sz w:val="32"/>
          <w:szCs w:val="32"/>
          <w:shd w:val="clear" w:color="auto" w:fill="FFFFFF"/>
          <w:lang w:val="en-US" w:eastAsia="zh-CN"/>
        </w:rPr>
        <w:t>2</w:t>
      </w:r>
      <w:r>
        <w:rPr>
          <w:rFonts w:ascii="仿宋_GB2312" w:hAnsi="ˎ̥" w:eastAsia="仿宋_GB2312" w:cs="仿宋_GB2312"/>
          <w:color w:val="auto"/>
          <w:sz w:val="32"/>
          <w:szCs w:val="32"/>
          <w:shd w:val="clear" w:color="auto" w:fill="FFFFFF"/>
        </w:rPr>
        <w:t>辆，其他用车主要是</w:t>
      </w:r>
      <w:r>
        <w:rPr>
          <w:rFonts w:hint="eastAsia" w:ascii="仿宋_GB2312" w:hAnsi="ˎ̥" w:eastAsia="仿宋_GB2312" w:cs="仿宋_GB2312"/>
          <w:color w:val="auto"/>
          <w:sz w:val="32"/>
          <w:szCs w:val="32"/>
          <w:shd w:val="clear" w:color="auto" w:fill="FFFFFF"/>
        </w:rPr>
        <w:t>公</w:t>
      </w:r>
      <w:r>
        <w:rPr>
          <w:rFonts w:ascii="仿宋_GB2312" w:hAnsi="ˎ̥" w:eastAsia="仿宋_GB2312" w:cs="仿宋_GB2312"/>
          <w:color w:val="auto"/>
          <w:sz w:val="32"/>
          <w:szCs w:val="32"/>
          <w:shd w:val="clear" w:color="auto" w:fill="FFFFFF"/>
        </w:rPr>
        <w:t>务用车。单价100万元（含）以上设备（不含车辆）</w:t>
      </w:r>
      <w:r>
        <w:rPr>
          <w:rFonts w:hint="eastAsia" w:ascii="仿宋_GB2312" w:hAnsi="ˎ̥" w:eastAsia="仿宋_GB2312" w:cs="仿宋_GB2312"/>
          <w:color w:val="auto"/>
          <w:sz w:val="32"/>
          <w:szCs w:val="32"/>
          <w:shd w:val="clear" w:color="auto" w:fill="FFFFFF"/>
        </w:rPr>
        <w:t>0</w:t>
      </w:r>
      <w:r>
        <w:rPr>
          <w:rFonts w:ascii="仿宋_GB2312" w:hAnsi="ˎ̥" w:eastAsia="仿宋_GB2312" w:cs="仿宋_GB2312"/>
          <w:color w:val="auto"/>
          <w:sz w:val="32"/>
          <w:szCs w:val="32"/>
          <w:shd w:val="clear" w:color="auto" w:fill="FFFFFF"/>
        </w:rPr>
        <w:t>台（套）。</w:t>
      </w:r>
    </w:p>
    <w:p w14:paraId="0B1A3A0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（注：上述国有资产占用情况相关数</w:t>
      </w:r>
      <w:r>
        <w:rPr>
          <w:rFonts w:hint="eastAsia" w:ascii="仿宋" w:hAnsi="仿宋" w:eastAsia="仿宋" w:cs="仿宋"/>
          <w:color w:val="auto"/>
          <w:sz w:val="32"/>
          <w:szCs w:val="32"/>
          <w:lang w:val="en-US" w:eastAsia="zh-CN"/>
        </w:rPr>
        <w:t>据</w:t>
      </w:r>
      <w:r>
        <w:rPr>
          <w:rFonts w:hint="eastAsia" w:ascii="仿宋" w:hAnsi="仿宋" w:eastAsia="仿宋" w:cs="仿宋"/>
          <w:color w:val="auto"/>
          <w:sz w:val="32"/>
          <w:szCs w:val="32"/>
        </w:rPr>
        <w:t>取自</w:t>
      </w: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年度部门决算F0</w:t>
      </w:r>
      <w:r>
        <w:rPr>
          <w:rFonts w:hint="eastAsia" w:ascii="仿宋" w:hAnsi="仿宋" w:eastAsia="仿宋" w:cs="仿宋"/>
          <w:color w:val="auto"/>
          <w:sz w:val="32"/>
          <w:szCs w:val="32"/>
          <w:lang w:val="en-US"/>
        </w:rPr>
        <w:t>2</w:t>
      </w:r>
      <w:r>
        <w:rPr>
          <w:rFonts w:hint="eastAsia" w:ascii="仿宋" w:hAnsi="仿宋" w:eastAsia="仿宋" w:cs="仿宋"/>
          <w:color w:val="auto"/>
          <w:sz w:val="32"/>
          <w:szCs w:val="32"/>
        </w:rPr>
        <w:t>表《预算支出相关信息表》、F03表《机构运行信息表》。）</w:t>
      </w:r>
    </w:p>
    <w:p w14:paraId="20F5AB1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color w:val="auto"/>
          <w:sz w:val="32"/>
          <w:szCs w:val="32"/>
        </w:rPr>
      </w:pPr>
      <w:bookmarkStart w:id="110" w:name="_Toc15425_WPSOffice_Level1"/>
      <w:bookmarkStart w:id="111" w:name="_Toc11039_WPSOffice_Level1"/>
      <w:bookmarkStart w:id="112" w:name="_Toc8874_WPSOffice_Level1"/>
      <w:bookmarkStart w:id="113" w:name="_Toc4398_WPSOffice_Level1"/>
      <w:bookmarkStart w:id="114" w:name="_Toc17580_WPSOffice_Level1"/>
      <w:bookmarkStart w:id="115" w:name="_Toc8808_WPSOffice_Level1"/>
    </w:p>
    <w:p w14:paraId="7D7EA2A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r>
        <w:rPr>
          <w:rFonts w:hint="eastAsia" w:ascii="黑体" w:hAnsi="ˎ̥" w:eastAsia="黑体"/>
          <w:color w:val="auto"/>
          <w:sz w:val="32"/>
          <w:szCs w:val="32"/>
        </w:rPr>
        <w:t>第四部分  名词解释</w:t>
      </w:r>
      <w:bookmarkEnd w:id="110"/>
      <w:bookmarkEnd w:id="111"/>
      <w:bookmarkEnd w:id="112"/>
      <w:bookmarkEnd w:id="113"/>
      <w:bookmarkEnd w:id="114"/>
      <w:bookmarkEnd w:id="115"/>
    </w:p>
    <w:p w14:paraId="20DF719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p>
    <w:p w14:paraId="7197CEF9">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财政拨款收入：指同级政府财政部门当年拨付的各类财政拨款。</w:t>
      </w:r>
    </w:p>
    <w:p w14:paraId="7DA2B54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二、上级补助收入：指事业单位从主管部门和上级单位取得的非财政补助收入。</w:t>
      </w:r>
    </w:p>
    <w:p w14:paraId="2A93201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三、事业收入：指事业单位开展专业业务活动及辅助活动取得的收入。</w:t>
      </w:r>
    </w:p>
    <w:p w14:paraId="07958E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四、经营收入：指事业单位在专业业务活动及其辅助活动之外开展非独立核算经营活动取得的收入。</w:t>
      </w:r>
    </w:p>
    <w:p w14:paraId="2092876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五、附属单位上缴收入：指事业单位取得附属独立核算单位根据有关规定上缴的收入。</w:t>
      </w:r>
    </w:p>
    <w:p w14:paraId="2323CEA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六、其他收入：指除上述“财政拨款收入”“事业收入”“上级补助收入”“经营收入”“附属单位上缴收入”等以外的收入。</w:t>
      </w:r>
    </w:p>
    <w:p w14:paraId="4062D03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七、使用非财政拨款结余（含专用结余）：指事业单位在当年的“财政拨款收入”“事业收入”“经营收入”“其他收入”等不足以安排当年支出的情况下，使用非同级财政拨款结余资金弥补本年度收支缺口。</w:t>
      </w:r>
    </w:p>
    <w:p w14:paraId="64AEE7C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八、年初结转和结余：指以前年度尚未完成、结转到本年按有关规定继续使用的资金，或项目已完成等产生的结余资金。</w:t>
      </w:r>
    </w:p>
    <w:p w14:paraId="24D18E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九、结余分配：指事业单位缴纳企业所得税以及从非财政拨款结余或经营结余中提取各类结余的情况。</w:t>
      </w:r>
    </w:p>
    <w:p w14:paraId="5625F05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十、年末结转和结余：指本年度或以前年度预算安排、因客观条件发生变化无法按原计划实施，需要延迟到以后年度按有关规定继续使用的资金（不包括事业单位非财政拨款结余和专用结余）。</w:t>
      </w:r>
    </w:p>
    <w:p w14:paraId="66457CB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十一、基本支出：指为保障机构正常运转、完成日常工作任务而发生的人员支出和公用支出。</w:t>
      </w:r>
    </w:p>
    <w:p w14:paraId="29DCB54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十二、项目支出：指在基本支出之外为完成特定行政任务和事业发展目标所发生的支出。</w:t>
      </w:r>
    </w:p>
    <w:p w14:paraId="2BF293A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十三、经营支出：指事业单位在专业业务活动及其辅助活动之外开展非独立核算经营活动发生的支出。</w:t>
      </w:r>
    </w:p>
    <w:p w14:paraId="4BFE062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十四、“三公”经费：纳入本级财政预决算管理的“三公”经费，是指用一般公共预算财政拨款、政府性基金预算财政拨款及国有资本经营预算财政拨款安排的因公出国（境）费</w:t>
      </w:r>
      <w:r>
        <w:rPr>
          <w:rFonts w:hint="eastAsia" w:ascii="仿宋" w:hAnsi="仿宋" w:eastAsia="仿宋" w:cs="仿宋"/>
          <w:color w:val="auto"/>
          <w:sz w:val="32"/>
          <w:szCs w:val="32"/>
          <w:highlight w:val="none"/>
          <w:lang w:eastAsia="zh-CN"/>
        </w:rPr>
        <w:t>用</w:t>
      </w:r>
      <w:r>
        <w:rPr>
          <w:rFonts w:hint="eastAsia" w:ascii="仿宋" w:hAnsi="仿宋" w:eastAsia="仿宋" w:cs="仿宋"/>
          <w:color w:val="auto"/>
          <w:sz w:val="32"/>
          <w:szCs w:val="32"/>
          <w:highlight w:val="none"/>
        </w:rPr>
        <w:t>、公务用车购置及运行维护费和公务接待费。其中，因公出国（境）费</w:t>
      </w:r>
      <w:r>
        <w:rPr>
          <w:rFonts w:hint="eastAsia" w:ascii="仿宋" w:hAnsi="仿宋" w:eastAsia="仿宋" w:cs="仿宋"/>
          <w:color w:val="auto"/>
          <w:sz w:val="32"/>
          <w:szCs w:val="32"/>
          <w:highlight w:val="none"/>
          <w:lang w:eastAsia="zh-CN"/>
        </w:rPr>
        <w:t>用</w:t>
      </w:r>
      <w:r>
        <w:rPr>
          <w:rFonts w:hint="eastAsia" w:ascii="仿宋" w:hAnsi="仿宋" w:eastAsia="仿宋" w:cs="仿宋"/>
          <w:color w:val="auto"/>
          <w:sz w:val="32"/>
          <w:szCs w:val="32"/>
          <w:highlight w:val="none"/>
        </w:rPr>
        <w:t>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670215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76F30C3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十六、支出功能分类：</w:t>
      </w:r>
    </w:p>
    <w:p w14:paraId="4A0A9D8C">
      <w:pPr>
        <w:keepNext w:val="0"/>
        <w:keepLines w:val="0"/>
        <w:pageBreakBefore w:val="0"/>
        <w:widowControl/>
        <w:kinsoku/>
        <w:wordWrap/>
        <w:overflowPunct/>
        <w:topLinePunct w:val="0"/>
        <w:autoSpaceDE/>
        <w:bidi w:val="0"/>
        <w:adjustRightInd/>
        <w:snapToGrid/>
        <w:spacing w:line="578" w:lineRule="exact"/>
        <w:ind w:firstLine="640" w:firstLineChars="200"/>
        <w:rPr>
          <w:rFonts w:hint="eastAsia" w:ascii="宋体" w:hAnsi="宋体" w:eastAsia="宋体" w:cs="宋体"/>
          <w:b w:val="0"/>
          <w:bCs w:val="0"/>
          <w:sz w:val="32"/>
          <w:szCs w:val="32"/>
        </w:rPr>
      </w:pPr>
      <w:r>
        <w:rPr>
          <w:rFonts w:hint="eastAsia" w:ascii="宋体" w:hAnsi="宋体" w:eastAsia="宋体" w:cs="宋体"/>
          <w:b w:val="0"/>
          <w:bCs w:val="0"/>
          <w:sz w:val="32"/>
          <w:szCs w:val="32"/>
        </w:rPr>
        <w:t>1.一般公共服务（类）人大事务（款）行政运行（项）。</w:t>
      </w:r>
    </w:p>
    <w:p w14:paraId="28CE8A61">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宋体" w:hAnsi="宋体" w:eastAsia="宋体" w:cs="宋体"/>
          <w:b w:val="0"/>
          <w:bCs w:val="0"/>
          <w:color w:val="auto"/>
          <w:sz w:val="32"/>
          <w:szCs w:val="32"/>
          <w:lang w:eastAsia="zh-CN"/>
        </w:rPr>
      </w:pPr>
      <w:r>
        <w:rPr>
          <w:rFonts w:hint="eastAsia" w:ascii="宋体" w:hAnsi="宋体" w:eastAsia="宋体" w:cs="宋体"/>
          <w:b w:val="0"/>
          <w:bCs w:val="0"/>
          <w:sz w:val="32"/>
          <w:szCs w:val="32"/>
          <w:lang w:val="en-US" w:eastAsia="zh-CN"/>
        </w:rPr>
        <w:t>2.</w:t>
      </w:r>
      <w:r>
        <w:rPr>
          <w:rFonts w:hint="eastAsia" w:ascii="宋体" w:hAnsi="宋体" w:eastAsia="宋体" w:cs="宋体"/>
          <w:b w:val="0"/>
          <w:bCs w:val="0"/>
          <w:color w:val="auto"/>
          <w:sz w:val="32"/>
          <w:szCs w:val="32"/>
        </w:rPr>
        <w:t>教育支出（类）</w:t>
      </w:r>
      <w:r>
        <w:rPr>
          <w:rFonts w:hint="eastAsia" w:ascii="宋体" w:hAnsi="宋体" w:eastAsia="宋体" w:cs="宋体"/>
          <w:b w:val="0"/>
          <w:bCs w:val="0"/>
          <w:color w:val="auto"/>
          <w:sz w:val="32"/>
          <w:szCs w:val="32"/>
          <w:lang w:val="en-US" w:eastAsia="zh-CN"/>
        </w:rPr>
        <w:t>普通教育</w:t>
      </w:r>
      <w:r>
        <w:rPr>
          <w:rFonts w:hint="eastAsia" w:ascii="宋体" w:hAnsi="宋体" w:eastAsia="宋体" w:cs="宋体"/>
          <w:b w:val="0"/>
          <w:bCs w:val="0"/>
          <w:color w:val="auto"/>
          <w:sz w:val="32"/>
          <w:szCs w:val="32"/>
        </w:rPr>
        <w:t>（款）</w:t>
      </w:r>
      <w:r>
        <w:rPr>
          <w:rFonts w:hint="eastAsia" w:ascii="宋体" w:hAnsi="宋体" w:eastAsia="宋体" w:cs="宋体"/>
          <w:b w:val="0"/>
          <w:bCs w:val="0"/>
          <w:color w:val="auto"/>
          <w:sz w:val="32"/>
          <w:szCs w:val="32"/>
          <w:lang w:val="en-US" w:eastAsia="zh-CN"/>
        </w:rPr>
        <w:t>初中教育</w:t>
      </w:r>
      <w:r>
        <w:rPr>
          <w:rFonts w:hint="eastAsia" w:ascii="宋体" w:hAnsi="宋体" w:eastAsia="宋体" w:cs="宋体"/>
          <w:b w:val="0"/>
          <w:bCs w:val="0"/>
          <w:color w:val="auto"/>
          <w:sz w:val="32"/>
          <w:szCs w:val="32"/>
        </w:rPr>
        <w:t>（项）</w:t>
      </w:r>
      <w:r>
        <w:rPr>
          <w:rFonts w:hint="eastAsia" w:ascii="宋体" w:hAnsi="宋体" w:eastAsia="宋体" w:cs="宋体"/>
          <w:b w:val="0"/>
          <w:bCs w:val="0"/>
          <w:color w:val="auto"/>
          <w:sz w:val="32"/>
          <w:szCs w:val="32"/>
          <w:lang w:eastAsia="zh-CN"/>
        </w:rPr>
        <w:t>。</w:t>
      </w:r>
    </w:p>
    <w:p w14:paraId="2C91F9F2">
      <w:pPr>
        <w:keepNext w:val="0"/>
        <w:keepLines w:val="0"/>
        <w:pageBreakBefore w:val="0"/>
        <w:widowControl/>
        <w:kinsoku/>
        <w:wordWrap/>
        <w:overflowPunct/>
        <w:topLinePunct w:val="0"/>
        <w:autoSpaceDE/>
        <w:bidi w:val="0"/>
        <w:adjustRightInd/>
        <w:snapToGrid/>
        <w:spacing w:after="100" w:afterAutospacing="1"/>
        <w:ind w:firstLine="640" w:firstLineChars="200"/>
        <w:rPr>
          <w:rFonts w:hint="eastAsia" w:ascii="宋体" w:hAnsi="宋体" w:eastAsia="宋体" w:cs="宋体"/>
          <w:b w:val="0"/>
          <w:bCs w:val="0"/>
          <w:color w:val="auto"/>
          <w:sz w:val="32"/>
          <w:szCs w:val="32"/>
          <w:lang w:eastAsia="zh-CN"/>
        </w:rPr>
      </w:pPr>
      <w:r>
        <w:rPr>
          <w:rFonts w:hint="eastAsia" w:ascii="宋体" w:hAnsi="宋体" w:eastAsia="宋体" w:cs="宋体"/>
          <w:b w:val="0"/>
          <w:bCs w:val="0"/>
          <w:color w:val="auto"/>
          <w:sz w:val="32"/>
          <w:szCs w:val="32"/>
          <w:lang w:val="en-US" w:eastAsia="zh-CN"/>
        </w:rPr>
        <w:t>3.</w:t>
      </w:r>
      <w:r>
        <w:rPr>
          <w:rFonts w:hint="eastAsia" w:ascii="宋体" w:hAnsi="宋体" w:eastAsia="宋体" w:cs="宋体"/>
          <w:b w:val="0"/>
          <w:bCs w:val="0"/>
          <w:color w:val="auto"/>
          <w:sz w:val="32"/>
          <w:szCs w:val="32"/>
        </w:rPr>
        <w:t>教育支出（类）</w:t>
      </w:r>
      <w:r>
        <w:rPr>
          <w:rFonts w:hint="eastAsia" w:ascii="宋体" w:hAnsi="宋体" w:eastAsia="宋体" w:cs="宋体"/>
          <w:b w:val="0"/>
          <w:bCs w:val="0"/>
          <w:color w:val="auto"/>
          <w:sz w:val="32"/>
          <w:szCs w:val="32"/>
          <w:lang w:val="en-US" w:eastAsia="zh-CN"/>
        </w:rPr>
        <w:t>普通教育</w:t>
      </w:r>
      <w:r>
        <w:rPr>
          <w:rFonts w:hint="eastAsia" w:ascii="宋体" w:hAnsi="宋体" w:eastAsia="宋体" w:cs="宋体"/>
          <w:b w:val="0"/>
          <w:bCs w:val="0"/>
          <w:color w:val="auto"/>
          <w:sz w:val="32"/>
          <w:szCs w:val="32"/>
        </w:rPr>
        <w:t>（款）</w:t>
      </w:r>
      <w:r>
        <w:rPr>
          <w:rFonts w:hint="eastAsia" w:ascii="宋体" w:hAnsi="宋体" w:eastAsia="宋体" w:cs="宋体"/>
          <w:b w:val="0"/>
          <w:bCs w:val="0"/>
          <w:color w:val="auto"/>
          <w:sz w:val="32"/>
          <w:szCs w:val="32"/>
          <w:lang w:val="en-US" w:eastAsia="zh-CN"/>
        </w:rPr>
        <w:t>高中教育</w:t>
      </w:r>
      <w:r>
        <w:rPr>
          <w:rFonts w:hint="eastAsia" w:ascii="宋体" w:hAnsi="宋体" w:eastAsia="宋体" w:cs="宋体"/>
          <w:b w:val="0"/>
          <w:bCs w:val="0"/>
          <w:color w:val="auto"/>
          <w:sz w:val="32"/>
          <w:szCs w:val="32"/>
        </w:rPr>
        <w:t>（项）</w:t>
      </w:r>
      <w:r>
        <w:rPr>
          <w:rFonts w:hint="eastAsia" w:ascii="宋体" w:hAnsi="宋体" w:eastAsia="宋体" w:cs="宋体"/>
          <w:b w:val="0"/>
          <w:bCs w:val="0"/>
          <w:color w:val="auto"/>
          <w:sz w:val="32"/>
          <w:szCs w:val="32"/>
          <w:lang w:eastAsia="zh-CN"/>
        </w:rPr>
        <w:t>。</w:t>
      </w:r>
    </w:p>
    <w:p w14:paraId="2B398F26">
      <w:pPr>
        <w:keepNext w:val="0"/>
        <w:keepLines w:val="0"/>
        <w:pageBreakBefore w:val="0"/>
        <w:widowControl/>
        <w:kinsoku/>
        <w:wordWrap/>
        <w:overflowPunct/>
        <w:topLinePunct w:val="0"/>
        <w:autoSpaceDE/>
        <w:bidi w:val="0"/>
        <w:adjustRightInd/>
        <w:snapToGrid/>
        <w:ind w:left="0" w:firstLine="640" w:firstLineChars="200"/>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4</w:t>
      </w:r>
      <w:r>
        <w:rPr>
          <w:rFonts w:hint="eastAsia" w:ascii="宋体" w:hAnsi="宋体" w:eastAsia="宋体" w:cs="宋体"/>
          <w:b w:val="0"/>
          <w:bCs w:val="0"/>
          <w:color w:val="auto"/>
          <w:sz w:val="32"/>
          <w:szCs w:val="32"/>
          <w:lang w:val="en-US"/>
        </w:rPr>
        <w:t>. 社会保障和就业支出</w:t>
      </w:r>
      <w:r>
        <w:rPr>
          <w:rFonts w:hint="eastAsia" w:ascii="宋体" w:hAnsi="宋体" w:eastAsia="宋体" w:cs="宋体"/>
          <w:b w:val="0"/>
          <w:bCs w:val="0"/>
          <w:color w:val="auto"/>
          <w:sz w:val="32"/>
          <w:szCs w:val="32"/>
          <w:lang w:val="en-US" w:eastAsia="zh-CN"/>
        </w:rPr>
        <w:t>（类）行政事业单位养老支出（款）机关事业单位基本养老保险缴费支出（项）。</w:t>
      </w:r>
    </w:p>
    <w:p w14:paraId="7D3093AB">
      <w:pPr>
        <w:keepNext w:val="0"/>
        <w:keepLines w:val="0"/>
        <w:pageBreakBefore w:val="0"/>
        <w:widowControl/>
        <w:kinsoku/>
        <w:wordWrap/>
        <w:overflowPunct/>
        <w:topLinePunct w:val="0"/>
        <w:autoSpaceDE/>
        <w:bidi w:val="0"/>
        <w:adjustRightInd/>
        <w:snapToGrid/>
        <w:ind w:left="0" w:firstLine="640" w:firstLineChars="200"/>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5.</w:t>
      </w:r>
      <w:r>
        <w:rPr>
          <w:rFonts w:hint="eastAsia" w:ascii="宋体" w:hAnsi="宋体" w:eastAsia="宋体" w:cs="宋体"/>
          <w:b w:val="0"/>
          <w:bCs w:val="0"/>
          <w:color w:val="auto"/>
          <w:sz w:val="32"/>
          <w:szCs w:val="32"/>
          <w:lang w:val="en-US"/>
        </w:rPr>
        <w:t>社会保障和就业支出</w:t>
      </w:r>
      <w:r>
        <w:rPr>
          <w:rFonts w:hint="eastAsia" w:ascii="宋体" w:hAnsi="宋体" w:eastAsia="宋体" w:cs="宋体"/>
          <w:b w:val="0"/>
          <w:bCs w:val="0"/>
          <w:color w:val="auto"/>
          <w:sz w:val="32"/>
          <w:szCs w:val="32"/>
          <w:lang w:val="en-US" w:eastAsia="zh-CN"/>
        </w:rPr>
        <w:t>（类）行政事业单位养老支出（款）机关事业单位职业年金缴费支出（项）。</w:t>
      </w:r>
    </w:p>
    <w:p w14:paraId="1FB75824">
      <w:pPr>
        <w:keepNext w:val="0"/>
        <w:keepLines w:val="0"/>
        <w:pageBreakBefore w:val="0"/>
        <w:widowControl/>
        <w:numPr>
          <w:ilvl w:val="0"/>
          <w:numId w:val="0"/>
        </w:numPr>
        <w:kinsoku/>
        <w:wordWrap/>
        <w:overflowPunct/>
        <w:topLinePunct w:val="0"/>
        <w:autoSpaceDE/>
        <w:bidi w:val="0"/>
        <w:adjustRightInd/>
        <w:snapToGrid/>
        <w:spacing w:line="578" w:lineRule="exact"/>
        <w:ind w:firstLine="640" w:firstLineChars="200"/>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6.</w:t>
      </w:r>
      <w:r>
        <w:rPr>
          <w:rFonts w:hint="eastAsia" w:ascii="宋体" w:hAnsi="宋体" w:eastAsia="宋体" w:cs="宋体"/>
          <w:b w:val="0"/>
          <w:bCs w:val="0"/>
          <w:color w:val="auto"/>
          <w:sz w:val="32"/>
          <w:szCs w:val="32"/>
          <w:lang w:val="en-US"/>
        </w:rPr>
        <w:t>社会保障和就业支出</w:t>
      </w:r>
      <w:r>
        <w:rPr>
          <w:rFonts w:hint="eastAsia" w:ascii="宋体" w:hAnsi="宋体" w:eastAsia="宋体" w:cs="宋体"/>
          <w:b w:val="0"/>
          <w:bCs w:val="0"/>
          <w:color w:val="auto"/>
          <w:sz w:val="32"/>
          <w:szCs w:val="32"/>
          <w:lang w:val="en-US" w:eastAsia="zh-CN"/>
        </w:rPr>
        <w:t>（类）抚恤（款）死亡抚恤（项）。</w:t>
      </w:r>
    </w:p>
    <w:p w14:paraId="044A4F7E">
      <w:pPr>
        <w:keepNext w:val="0"/>
        <w:keepLines w:val="0"/>
        <w:pageBreakBefore w:val="0"/>
        <w:widowControl/>
        <w:numPr>
          <w:ilvl w:val="0"/>
          <w:numId w:val="0"/>
        </w:numPr>
        <w:kinsoku/>
        <w:wordWrap/>
        <w:overflowPunct/>
        <w:topLinePunct w:val="0"/>
        <w:autoSpaceDE/>
        <w:bidi w:val="0"/>
        <w:adjustRightInd/>
        <w:snapToGrid/>
        <w:spacing w:line="578" w:lineRule="exact"/>
        <w:ind w:firstLine="640" w:firstLineChars="200"/>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7.</w:t>
      </w:r>
      <w:r>
        <w:rPr>
          <w:rFonts w:hint="eastAsia" w:ascii="宋体" w:hAnsi="宋体" w:eastAsia="宋体" w:cs="宋体"/>
          <w:b w:val="0"/>
          <w:bCs w:val="0"/>
          <w:color w:val="auto"/>
          <w:sz w:val="32"/>
          <w:szCs w:val="32"/>
          <w:lang w:val="en-US"/>
        </w:rPr>
        <w:t>社会保障和就业支出</w:t>
      </w:r>
      <w:r>
        <w:rPr>
          <w:rFonts w:hint="eastAsia" w:ascii="宋体" w:hAnsi="宋体" w:eastAsia="宋体" w:cs="宋体"/>
          <w:b w:val="0"/>
          <w:bCs w:val="0"/>
          <w:color w:val="auto"/>
          <w:sz w:val="32"/>
          <w:szCs w:val="32"/>
          <w:lang w:val="en-US" w:eastAsia="zh-CN"/>
        </w:rPr>
        <w:t>（类）抚恤（款）其他优抚支出（项）。</w:t>
      </w:r>
    </w:p>
    <w:p w14:paraId="02A64D55">
      <w:pPr>
        <w:keepNext w:val="0"/>
        <w:keepLines w:val="0"/>
        <w:pageBreakBefore w:val="0"/>
        <w:widowControl/>
        <w:kinsoku/>
        <w:wordWrap/>
        <w:overflowPunct/>
        <w:topLinePunct w:val="0"/>
        <w:autoSpaceDE/>
        <w:bidi w:val="0"/>
        <w:adjustRightInd/>
        <w:snapToGrid/>
        <w:ind w:left="0" w:firstLine="640" w:firstLineChars="200"/>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8</w:t>
      </w:r>
      <w:r>
        <w:rPr>
          <w:rFonts w:hint="eastAsia" w:ascii="宋体" w:hAnsi="宋体" w:eastAsia="宋体" w:cs="宋体"/>
          <w:b w:val="0"/>
          <w:bCs w:val="0"/>
          <w:color w:val="auto"/>
          <w:sz w:val="32"/>
          <w:szCs w:val="32"/>
          <w:lang w:val="en-US"/>
        </w:rPr>
        <w:t>.卫生健康支出</w:t>
      </w:r>
      <w:r>
        <w:rPr>
          <w:rFonts w:hint="eastAsia" w:ascii="宋体" w:hAnsi="宋体" w:eastAsia="宋体" w:cs="宋体"/>
          <w:b w:val="0"/>
          <w:bCs w:val="0"/>
          <w:color w:val="auto"/>
          <w:sz w:val="32"/>
          <w:szCs w:val="32"/>
          <w:lang w:val="en-US" w:eastAsia="zh-CN"/>
        </w:rPr>
        <w:t>（类）</w:t>
      </w:r>
      <w:r>
        <w:rPr>
          <w:rFonts w:hint="eastAsia" w:ascii="宋体" w:hAnsi="宋体" w:eastAsia="宋体" w:cs="宋体"/>
          <w:b w:val="0"/>
          <w:bCs w:val="0"/>
          <w:color w:val="auto"/>
          <w:sz w:val="32"/>
          <w:szCs w:val="32"/>
          <w:lang w:val="en-US"/>
        </w:rPr>
        <w:t>行政事业单位医疗</w:t>
      </w:r>
      <w:r>
        <w:rPr>
          <w:rFonts w:hint="eastAsia" w:ascii="宋体" w:hAnsi="宋体" w:eastAsia="宋体" w:cs="宋体"/>
          <w:b w:val="0"/>
          <w:bCs w:val="0"/>
          <w:color w:val="auto"/>
          <w:sz w:val="32"/>
          <w:szCs w:val="32"/>
          <w:lang w:val="en-US" w:eastAsia="zh-CN"/>
        </w:rPr>
        <w:t>（款）事业单位医疗（项）</w:t>
      </w:r>
    </w:p>
    <w:p w14:paraId="4FD5913B">
      <w:pPr>
        <w:keepNext w:val="0"/>
        <w:keepLines w:val="0"/>
        <w:pageBreakBefore w:val="0"/>
        <w:widowControl/>
        <w:numPr>
          <w:ilvl w:val="0"/>
          <w:numId w:val="0"/>
        </w:numPr>
        <w:kinsoku/>
        <w:wordWrap/>
        <w:overflowPunct/>
        <w:topLinePunct w:val="0"/>
        <w:autoSpaceDE/>
        <w:bidi w:val="0"/>
        <w:adjustRightInd/>
        <w:snapToGrid/>
        <w:ind w:firstLine="640" w:firstLineChars="200"/>
        <w:jc w:val="both"/>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9.</w:t>
      </w:r>
      <w:r>
        <w:rPr>
          <w:rFonts w:hint="eastAsia" w:ascii="宋体" w:hAnsi="宋体" w:eastAsia="宋体" w:cs="宋体"/>
          <w:b w:val="0"/>
          <w:bCs w:val="0"/>
          <w:color w:val="auto"/>
          <w:sz w:val="32"/>
          <w:szCs w:val="32"/>
          <w:lang w:val="en-US"/>
        </w:rPr>
        <w:t>住房保障支出</w:t>
      </w:r>
      <w:r>
        <w:rPr>
          <w:rFonts w:hint="eastAsia" w:ascii="宋体" w:hAnsi="宋体" w:eastAsia="宋体" w:cs="宋体"/>
          <w:b w:val="0"/>
          <w:bCs w:val="0"/>
          <w:color w:val="auto"/>
          <w:sz w:val="32"/>
          <w:szCs w:val="32"/>
          <w:lang w:val="en-US" w:eastAsia="zh-CN"/>
        </w:rPr>
        <w:t>（类）</w:t>
      </w:r>
      <w:r>
        <w:rPr>
          <w:rFonts w:hint="eastAsia" w:ascii="宋体" w:hAnsi="宋体" w:eastAsia="宋体" w:cs="宋体"/>
          <w:b w:val="0"/>
          <w:bCs w:val="0"/>
          <w:color w:val="auto"/>
          <w:sz w:val="32"/>
          <w:szCs w:val="32"/>
          <w:lang w:val="en-US"/>
        </w:rPr>
        <w:t>住房改革支出</w:t>
      </w:r>
      <w:r>
        <w:rPr>
          <w:rFonts w:hint="eastAsia" w:ascii="宋体" w:hAnsi="宋体" w:eastAsia="宋体" w:cs="宋体"/>
          <w:b w:val="0"/>
          <w:bCs w:val="0"/>
          <w:color w:val="auto"/>
          <w:sz w:val="32"/>
          <w:szCs w:val="32"/>
          <w:lang w:val="en-US" w:eastAsia="zh-CN"/>
        </w:rPr>
        <w:t>（款）住房公积（项）。</w:t>
      </w:r>
    </w:p>
    <w:p w14:paraId="0522370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val="0"/>
          <w:sz w:val="32"/>
          <w:szCs w:val="32"/>
        </w:rPr>
      </w:pPr>
    </w:p>
    <w:sectPr>
      <w:footerReference r:id="rId3" w:type="default"/>
      <w:footerReference r:id="rId4" w:type="even"/>
      <w:pgSz w:w="11906" w:h="16838"/>
      <w:pgMar w:top="2098" w:right="1474" w:bottom="130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9E08A">
    <w:pPr>
      <w:pStyle w:val="5"/>
      <w:framePr w:wrap="around" w:vAnchor="text" w:hAnchor="margin" w:xAlign="center" w:y="1"/>
      <w:rPr>
        <w:rStyle w:val="11"/>
        <w:rFonts w:hint="eastAsia" w:ascii="宋体" w:hAnsi="宋体" w:eastAsia="宋体" w:cs="宋体"/>
        <w:sz w:val="28"/>
        <w:szCs w:val="28"/>
      </w:rPr>
    </w:pPr>
    <w:r>
      <w:rPr>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1"/>
        <w:rFonts w:hint="eastAsia" w:ascii="宋体" w:hAnsi="宋体" w:eastAsia="宋体" w:cs="宋体"/>
        <w:sz w:val="28"/>
        <w:szCs w:val="28"/>
      </w:rPr>
      <w:t>18</w:t>
    </w:r>
    <w:r>
      <w:rPr>
        <w:rFonts w:hint="eastAsia" w:ascii="宋体" w:hAnsi="宋体" w:eastAsia="宋体" w:cs="宋体"/>
        <w:sz w:val="28"/>
        <w:szCs w:val="28"/>
      </w:rPr>
      <w:fldChar w:fldCharType="end"/>
    </w:r>
  </w:p>
  <w:p w14:paraId="1BD1ED8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6F60F">
    <w:pPr>
      <w:pStyle w:val="5"/>
      <w:framePr w:wrap="around" w:vAnchor="text" w:hAnchor="margin" w:xAlign="center" w:y="1"/>
      <w:rPr>
        <w:rStyle w:val="11"/>
      </w:rPr>
    </w:pPr>
    <w:r>
      <w:fldChar w:fldCharType="begin"/>
    </w:r>
    <w:r>
      <w:rPr>
        <w:rStyle w:val="11"/>
      </w:rPr>
      <w:instrText xml:space="preserve">PAGE  </w:instrText>
    </w:r>
    <w:r>
      <w:fldChar w:fldCharType="separate"/>
    </w:r>
    <w:r>
      <w:fldChar w:fldCharType="end"/>
    </w:r>
  </w:p>
  <w:p w14:paraId="07FD915D">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18BF19"/>
    <w:multiLevelType w:val="singleLevel"/>
    <w:tmpl w:val="8C18BF19"/>
    <w:lvl w:ilvl="0" w:tentative="0">
      <w:start w:val="4"/>
      <w:numFmt w:val="chineseCounting"/>
      <w:suff w:val="nothing"/>
      <w:lvlText w:val="（%1）"/>
      <w:lvlJc w:val="left"/>
      <w:rPr>
        <w:rFonts w:hint="eastAsia"/>
      </w:rPr>
    </w:lvl>
  </w:abstractNum>
  <w:abstractNum w:abstractNumId="1">
    <w:nsid w:val="AFFC2DCC"/>
    <w:multiLevelType w:val="singleLevel"/>
    <w:tmpl w:val="AFFC2DCC"/>
    <w:lvl w:ilvl="0" w:tentative="0">
      <w:start w:val="1"/>
      <w:numFmt w:val="chineseCounting"/>
      <w:suff w:val="nothing"/>
      <w:lvlText w:val="%1、"/>
      <w:lvlJc w:val="left"/>
      <w:rPr>
        <w:rFonts w:hint="eastAsia"/>
      </w:rPr>
    </w:lvl>
  </w:abstractNum>
  <w:abstractNum w:abstractNumId="2">
    <w:nsid w:val="DE7ABA8A"/>
    <w:multiLevelType w:val="singleLevel"/>
    <w:tmpl w:val="DE7ABA8A"/>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1153A"/>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30B2A3C"/>
    <w:rsid w:val="035166A0"/>
    <w:rsid w:val="03AF1619"/>
    <w:rsid w:val="04CB1139"/>
    <w:rsid w:val="053340A7"/>
    <w:rsid w:val="05A045D0"/>
    <w:rsid w:val="063D6F3B"/>
    <w:rsid w:val="06400C4E"/>
    <w:rsid w:val="065026A6"/>
    <w:rsid w:val="06D924D2"/>
    <w:rsid w:val="072803CF"/>
    <w:rsid w:val="07817AA9"/>
    <w:rsid w:val="080B7C62"/>
    <w:rsid w:val="09201287"/>
    <w:rsid w:val="099472E7"/>
    <w:rsid w:val="0ABA4D07"/>
    <w:rsid w:val="0AD93C77"/>
    <w:rsid w:val="0AF81AF7"/>
    <w:rsid w:val="0B083F4B"/>
    <w:rsid w:val="0B8646CF"/>
    <w:rsid w:val="0C8166F2"/>
    <w:rsid w:val="0C9909AF"/>
    <w:rsid w:val="0E3E1796"/>
    <w:rsid w:val="0F0D0E98"/>
    <w:rsid w:val="0F5B4403"/>
    <w:rsid w:val="0F64775C"/>
    <w:rsid w:val="0FC80124"/>
    <w:rsid w:val="106D0892"/>
    <w:rsid w:val="136F98C7"/>
    <w:rsid w:val="13885374"/>
    <w:rsid w:val="13CC1D73"/>
    <w:rsid w:val="14771CDF"/>
    <w:rsid w:val="162416A1"/>
    <w:rsid w:val="168B3E76"/>
    <w:rsid w:val="16A81EDF"/>
    <w:rsid w:val="17427E68"/>
    <w:rsid w:val="1755065F"/>
    <w:rsid w:val="17F378CF"/>
    <w:rsid w:val="18BE5641"/>
    <w:rsid w:val="19762565"/>
    <w:rsid w:val="1AFC29C9"/>
    <w:rsid w:val="1B2E13B2"/>
    <w:rsid w:val="1B4A72CB"/>
    <w:rsid w:val="1CA52F2E"/>
    <w:rsid w:val="1E3630B9"/>
    <w:rsid w:val="1E517AE3"/>
    <w:rsid w:val="1E766B63"/>
    <w:rsid w:val="1F6E19EC"/>
    <w:rsid w:val="20667AFF"/>
    <w:rsid w:val="208714FC"/>
    <w:rsid w:val="210D392C"/>
    <w:rsid w:val="218A0F40"/>
    <w:rsid w:val="21BF6F44"/>
    <w:rsid w:val="22002772"/>
    <w:rsid w:val="22554825"/>
    <w:rsid w:val="22FB1D2D"/>
    <w:rsid w:val="24013373"/>
    <w:rsid w:val="249C6490"/>
    <w:rsid w:val="25DA0320"/>
    <w:rsid w:val="25F2630E"/>
    <w:rsid w:val="26EEC2B5"/>
    <w:rsid w:val="283261F1"/>
    <w:rsid w:val="291F6AC1"/>
    <w:rsid w:val="29472309"/>
    <w:rsid w:val="29B37588"/>
    <w:rsid w:val="29D94B03"/>
    <w:rsid w:val="2B26474E"/>
    <w:rsid w:val="2B406E77"/>
    <w:rsid w:val="2B801021"/>
    <w:rsid w:val="2BA71534"/>
    <w:rsid w:val="2BAF6CD0"/>
    <w:rsid w:val="2BF67536"/>
    <w:rsid w:val="2C18443E"/>
    <w:rsid w:val="2C2A0C43"/>
    <w:rsid w:val="2C895B0F"/>
    <w:rsid w:val="2D1E73A5"/>
    <w:rsid w:val="2D984D48"/>
    <w:rsid w:val="2DAA682A"/>
    <w:rsid w:val="2EB35499"/>
    <w:rsid w:val="2EBC27F8"/>
    <w:rsid w:val="32717154"/>
    <w:rsid w:val="33CC4795"/>
    <w:rsid w:val="34B63260"/>
    <w:rsid w:val="36BF474E"/>
    <w:rsid w:val="376F660D"/>
    <w:rsid w:val="37F52D97"/>
    <w:rsid w:val="37FDA7E2"/>
    <w:rsid w:val="389D2A9B"/>
    <w:rsid w:val="39B00808"/>
    <w:rsid w:val="3A314D88"/>
    <w:rsid w:val="3A746883"/>
    <w:rsid w:val="3C5B60FB"/>
    <w:rsid w:val="3C8A1D00"/>
    <w:rsid w:val="3CA15DE9"/>
    <w:rsid w:val="3D0F0457"/>
    <w:rsid w:val="3DFA2EB5"/>
    <w:rsid w:val="3E530817"/>
    <w:rsid w:val="3FD02B45"/>
    <w:rsid w:val="3FE61EE5"/>
    <w:rsid w:val="406508EE"/>
    <w:rsid w:val="408D6263"/>
    <w:rsid w:val="41B40CEE"/>
    <w:rsid w:val="42834F1E"/>
    <w:rsid w:val="42EB7F27"/>
    <w:rsid w:val="44771D2C"/>
    <w:rsid w:val="44DC1D3A"/>
    <w:rsid w:val="45060392"/>
    <w:rsid w:val="46773AE2"/>
    <w:rsid w:val="48317291"/>
    <w:rsid w:val="484D5079"/>
    <w:rsid w:val="485F7024"/>
    <w:rsid w:val="488F68F0"/>
    <w:rsid w:val="48C447EC"/>
    <w:rsid w:val="48DE69C5"/>
    <w:rsid w:val="48E70666"/>
    <w:rsid w:val="4A513E5D"/>
    <w:rsid w:val="4B321401"/>
    <w:rsid w:val="4C6877E5"/>
    <w:rsid w:val="4D4E6D7A"/>
    <w:rsid w:val="4D6A468D"/>
    <w:rsid w:val="4EA86137"/>
    <w:rsid w:val="512C1180"/>
    <w:rsid w:val="51B4699E"/>
    <w:rsid w:val="51DA7627"/>
    <w:rsid w:val="54A35F82"/>
    <w:rsid w:val="54AB6860"/>
    <w:rsid w:val="55384597"/>
    <w:rsid w:val="56031AB3"/>
    <w:rsid w:val="566040EB"/>
    <w:rsid w:val="56B81EA5"/>
    <w:rsid w:val="56CA7FD0"/>
    <w:rsid w:val="56E87CD1"/>
    <w:rsid w:val="57832294"/>
    <w:rsid w:val="57FA38D1"/>
    <w:rsid w:val="58174786"/>
    <w:rsid w:val="598805C8"/>
    <w:rsid w:val="5A6A4AC7"/>
    <w:rsid w:val="5AB97EAE"/>
    <w:rsid w:val="5ADC2091"/>
    <w:rsid w:val="5BB22C13"/>
    <w:rsid w:val="5BF64F85"/>
    <w:rsid w:val="5D9E1657"/>
    <w:rsid w:val="5EB34C79"/>
    <w:rsid w:val="5EE27322"/>
    <w:rsid w:val="5F5E5774"/>
    <w:rsid w:val="5F7D3333"/>
    <w:rsid w:val="5F8726A2"/>
    <w:rsid w:val="601D7037"/>
    <w:rsid w:val="61385890"/>
    <w:rsid w:val="623946AB"/>
    <w:rsid w:val="648345C2"/>
    <w:rsid w:val="64CC0566"/>
    <w:rsid w:val="656E3F89"/>
    <w:rsid w:val="65825D41"/>
    <w:rsid w:val="65FE5331"/>
    <w:rsid w:val="661D6A6F"/>
    <w:rsid w:val="66CB4B3F"/>
    <w:rsid w:val="68484E90"/>
    <w:rsid w:val="687436E1"/>
    <w:rsid w:val="6922248C"/>
    <w:rsid w:val="69F7603F"/>
    <w:rsid w:val="6A151371"/>
    <w:rsid w:val="6A6B4546"/>
    <w:rsid w:val="6A8E20AF"/>
    <w:rsid w:val="6D0843F7"/>
    <w:rsid w:val="6DA45C50"/>
    <w:rsid w:val="6E9A7825"/>
    <w:rsid w:val="6F670F9B"/>
    <w:rsid w:val="6FCC3BB2"/>
    <w:rsid w:val="71140EDA"/>
    <w:rsid w:val="737450E0"/>
    <w:rsid w:val="74054476"/>
    <w:rsid w:val="742F38C4"/>
    <w:rsid w:val="74AB66DC"/>
    <w:rsid w:val="74B63523"/>
    <w:rsid w:val="74C4154C"/>
    <w:rsid w:val="75956FFF"/>
    <w:rsid w:val="778D20C9"/>
    <w:rsid w:val="77AA2D01"/>
    <w:rsid w:val="783C4637"/>
    <w:rsid w:val="793C6888"/>
    <w:rsid w:val="7CDE1DBD"/>
    <w:rsid w:val="7D1F2A0D"/>
    <w:rsid w:val="7D943A85"/>
    <w:rsid w:val="7DB0448C"/>
    <w:rsid w:val="7DEA04AF"/>
    <w:rsid w:val="7E5F9AA4"/>
    <w:rsid w:val="7FEE23EB"/>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link w:val="13"/>
    <w:qFormat/>
    <w:uiPriority w:val="0"/>
    <w:pPr>
      <w:jc w:val="left"/>
    </w:pPr>
  </w:style>
  <w:style w:type="paragraph" w:styleId="4">
    <w:name w:val="Balloon Text"/>
    <w:basedOn w:val="1"/>
    <w:link w:val="14"/>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paragraph" w:styleId="8">
    <w:name w:val="annotation subject"/>
    <w:basedOn w:val="3"/>
    <w:next w:val="3"/>
    <w:link w:val="16"/>
    <w:qFormat/>
    <w:uiPriority w:val="0"/>
    <w:rPr>
      <w:b/>
      <w:bCs/>
    </w:rPr>
  </w:style>
  <w:style w:type="character" w:styleId="11">
    <w:name w:val="page number"/>
    <w:qFormat/>
    <w:uiPriority w:val="0"/>
  </w:style>
  <w:style w:type="character" w:styleId="12">
    <w:name w:val="annotation reference"/>
    <w:qFormat/>
    <w:uiPriority w:val="0"/>
    <w:rPr>
      <w:sz w:val="21"/>
      <w:szCs w:val="21"/>
    </w:rPr>
  </w:style>
  <w:style w:type="character" w:customStyle="1" w:styleId="13">
    <w:name w:val="批注文字 Char"/>
    <w:link w:val="3"/>
    <w:qFormat/>
    <w:uiPriority w:val="0"/>
    <w:rPr>
      <w:kern w:val="2"/>
      <w:sz w:val="21"/>
      <w:szCs w:val="24"/>
    </w:rPr>
  </w:style>
  <w:style w:type="character" w:customStyle="1" w:styleId="14">
    <w:name w:val="批注框文本 Char"/>
    <w:link w:val="4"/>
    <w:qFormat/>
    <w:uiPriority w:val="0"/>
    <w:rPr>
      <w:kern w:val="2"/>
      <w:sz w:val="18"/>
      <w:szCs w:val="18"/>
    </w:rPr>
  </w:style>
  <w:style w:type="character" w:customStyle="1" w:styleId="15">
    <w:name w:val="页眉 Char"/>
    <w:link w:val="6"/>
    <w:qFormat/>
    <w:uiPriority w:val="0"/>
    <w:rPr>
      <w:kern w:val="2"/>
      <w:sz w:val="18"/>
      <w:szCs w:val="18"/>
    </w:rPr>
  </w:style>
  <w:style w:type="character" w:customStyle="1" w:styleId="16">
    <w:name w:val="批注主题 Char"/>
    <w:link w:val="8"/>
    <w:qFormat/>
    <w:uiPriority w:val="0"/>
    <w:rPr>
      <w:b/>
      <w:bCs/>
      <w:kern w:val="2"/>
      <w:sz w:val="21"/>
      <w:szCs w:val="24"/>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WPSOffice手动目录 2"/>
    <w:qFormat/>
    <w:uiPriority w:val="0"/>
    <w:pPr>
      <w:ind w:leftChars="200"/>
    </w:pPr>
    <w:rPr>
      <w:rFonts w:ascii="Times New Roman" w:hAnsi="Times New Roman" w:eastAsia="宋体" w:cs="Times New Roman"/>
      <w:lang w:val="en-US" w:eastAsia="zh-CN" w:bidi="ar-SA"/>
    </w:rPr>
  </w:style>
  <w:style w:type="paragraph" w:customStyle="1" w:styleId="19">
    <w:name w:val="正文1 Char Char Char"/>
    <w:basedOn w:val="1"/>
    <w:qFormat/>
    <w:uiPriority w:val="0"/>
    <w:pPr>
      <w:spacing w:line="360" w:lineRule="auto"/>
      <w:ind w:firstLine="200" w:firstLineChars="200"/>
    </w:pPr>
  </w:style>
  <w:style w:type="character" w:customStyle="1" w:styleId="20">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5539</Words>
  <Characters>6376</Characters>
  <Lines>67</Lines>
  <Paragraphs>18</Paragraphs>
  <TotalTime>25</TotalTime>
  <ScaleCrop>false</ScaleCrop>
  <LinksUpToDate>false</LinksUpToDate>
  <CharactersWithSpaces>6424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陈柄昌</cp:lastModifiedBy>
  <cp:lastPrinted>2023-08-03T00:58:00Z</cp:lastPrinted>
  <dcterms:modified xsi:type="dcterms:W3CDTF">2026-08-27T08:43:02Z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03AE7F14E2DC4BACB053764200FF950D_13</vt:lpwstr>
  </property>
  <property fmtid="{D5CDD505-2E9C-101B-9397-08002B2CF9AE}" pid="4" name="KSOTemplateDocerSaveRecord">
    <vt:lpwstr>eyJoZGlkIjoiZGIyNzlmOWVjMDNiZTVmZmRiMWYxNmY5ZjE3MzFkNmMiLCJ1c2VySWQiOiI3OTY3Njc3MDQifQ==</vt:lpwstr>
  </property>
</Properties>
</file>